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80" w:rsidRPr="003C04E5" w:rsidRDefault="00B25C80" w:rsidP="003C04E5">
      <w:pPr>
        <w:pStyle w:val="a3"/>
        <w:spacing w:before="0" w:beforeAutospacing="0" w:afterLines="100" w:after="312" w:afterAutospacing="0" w:line="450" w:lineRule="atLeast"/>
        <w:jc w:val="center"/>
        <w:rPr>
          <w:rFonts w:ascii="黑体" w:eastAsia="黑体" w:hAnsi="黑体"/>
          <w:color w:val="444444"/>
          <w:sz w:val="44"/>
          <w:szCs w:val="44"/>
        </w:rPr>
      </w:pPr>
      <w:r w:rsidRPr="003C04E5">
        <w:rPr>
          <w:rStyle w:val="a4"/>
          <w:rFonts w:ascii="黑体" w:eastAsia="黑体" w:hAnsi="黑体"/>
          <w:color w:val="444444"/>
          <w:sz w:val="44"/>
          <w:szCs w:val="44"/>
        </w:rPr>
        <w:t>2016证券公司风险控制指标管理办法</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(2006</w:t>
      </w:r>
      <w:r w:rsidR="00B25C80">
        <w:rPr>
          <w:rFonts w:ascii="����" w:hAnsi="����"/>
          <w:color w:val="444444"/>
          <w:sz w:val="21"/>
          <w:szCs w:val="21"/>
        </w:rPr>
        <w:t>年</w:t>
      </w:r>
      <w:r w:rsidR="00B25C80">
        <w:rPr>
          <w:rFonts w:ascii="����" w:hAnsi="����"/>
          <w:color w:val="444444"/>
          <w:sz w:val="21"/>
          <w:szCs w:val="21"/>
        </w:rPr>
        <w:t>7</w:t>
      </w:r>
      <w:r w:rsidR="00B25C80">
        <w:rPr>
          <w:rFonts w:ascii="����" w:hAnsi="����"/>
          <w:color w:val="444444"/>
          <w:sz w:val="21"/>
          <w:szCs w:val="21"/>
        </w:rPr>
        <w:t>月</w:t>
      </w:r>
      <w:r w:rsidR="00B25C80">
        <w:rPr>
          <w:rFonts w:ascii="����" w:hAnsi="����"/>
          <w:color w:val="444444"/>
          <w:sz w:val="21"/>
          <w:szCs w:val="21"/>
        </w:rPr>
        <w:t>5</w:t>
      </w:r>
      <w:r w:rsidR="00B25C80">
        <w:rPr>
          <w:rFonts w:ascii="����" w:hAnsi="����"/>
          <w:color w:val="444444"/>
          <w:sz w:val="21"/>
          <w:szCs w:val="21"/>
        </w:rPr>
        <w:t>日中国证券监督管理委员会第</w:t>
      </w:r>
      <w:r w:rsidR="00B25C80">
        <w:rPr>
          <w:rFonts w:ascii="����" w:hAnsi="����"/>
          <w:color w:val="444444"/>
          <w:sz w:val="21"/>
          <w:szCs w:val="21"/>
        </w:rPr>
        <w:t>185</w:t>
      </w:r>
      <w:r w:rsidR="00B25C80">
        <w:rPr>
          <w:rFonts w:ascii="����" w:hAnsi="����"/>
          <w:color w:val="444444"/>
          <w:sz w:val="21"/>
          <w:szCs w:val="21"/>
        </w:rPr>
        <w:t>次主席办公会议审议通过，根据</w:t>
      </w:r>
      <w:r w:rsidR="00B25C80">
        <w:rPr>
          <w:rFonts w:ascii="����" w:hAnsi="����"/>
          <w:color w:val="444444"/>
          <w:sz w:val="21"/>
          <w:szCs w:val="21"/>
        </w:rPr>
        <w:t>2008</w:t>
      </w:r>
      <w:r w:rsidR="00B25C80">
        <w:rPr>
          <w:rFonts w:ascii="����" w:hAnsi="����"/>
          <w:color w:val="444444"/>
          <w:sz w:val="21"/>
          <w:szCs w:val="21"/>
        </w:rPr>
        <w:t>年</w:t>
      </w:r>
      <w:r w:rsidR="00B25C80">
        <w:rPr>
          <w:rFonts w:ascii="����" w:hAnsi="����"/>
          <w:color w:val="444444"/>
          <w:sz w:val="21"/>
          <w:szCs w:val="21"/>
        </w:rPr>
        <w:t>6</w:t>
      </w:r>
      <w:r w:rsidR="00B25C80">
        <w:rPr>
          <w:rFonts w:ascii="����" w:hAnsi="����"/>
          <w:color w:val="444444"/>
          <w:sz w:val="21"/>
          <w:szCs w:val="21"/>
        </w:rPr>
        <w:t>月</w:t>
      </w:r>
      <w:r w:rsidR="00B25C80">
        <w:rPr>
          <w:rFonts w:ascii="����" w:hAnsi="����"/>
          <w:color w:val="444444"/>
          <w:sz w:val="21"/>
          <w:szCs w:val="21"/>
        </w:rPr>
        <w:t>24</w:t>
      </w:r>
      <w:r w:rsidR="00B25C80">
        <w:rPr>
          <w:rFonts w:ascii="����" w:hAnsi="����"/>
          <w:color w:val="444444"/>
          <w:sz w:val="21"/>
          <w:szCs w:val="21"/>
        </w:rPr>
        <w:t>日中国证券监督管理委员会《关于修改〈证券公司风险控制指标管理办法〉的决定》修正，</w:t>
      </w:r>
      <w:r w:rsidR="00B25C80">
        <w:rPr>
          <w:rFonts w:ascii="����" w:hAnsi="����"/>
          <w:color w:val="444444"/>
          <w:sz w:val="21"/>
          <w:szCs w:val="21"/>
        </w:rPr>
        <w:t>2016</w:t>
      </w:r>
      <w:r w:rsidR="00B25C80">
        <w:rPr>
          <w:rFonts w:ascii="����" w:hAnsi="����"/>
          <w:color w:val="444444"/>
          <w:sz w:val="21"/>
          <w:szCs w:val="21"/>
        </w:rPr>
        <w:t>年</w:t>
      </w:r>
      <w:r w:rsidR="00B25C80">
        <w:rPr>
          <w:rFonts w:ascii="����" w:hAnsi="����"/>
          <w:color w:val="444444"/>
          <w:sz w:val="21"/>
          <w:szCs w:val="21"/>
        </w:rPr>
        <w:t>6</w:t>
      </w:r>
      <w:r w:rsidR="00B25C80">
        <w:rPr>
          <w:rFonts w:ascii="����" w:hAnsi="����"/>
          <w:color w:val="444444"/>
          <w:sz w:val="21"/>
          <w:szCs w:val="21"/>
        </w:rPr>
        <w:t>月</w:t>
      </w:r>
      <w:r w:rsidR="00B25C80">
        <w:rPr>
          <w:rFonts w:ascii="����" w:hAnsi="����"/>
          <w:color w:val="444444"/>
          <w:sz w:val="21"/>
          <w:szCs w:val="21"/>
        </w:rPr>
        <w:t>16</w:t>
      </w:r>
      <w:r w:rsidR="00B25C80">
        <w:rPr>
          <w:rFonts w:ascii="����" w:hAnsi="����"/>
          <w:color w:val="444444"/>
          <w:sz w:val="21"/>
          <w:szCs w:val="21"/>
        </w:rPr>
        <w:t>日中国证券监督管理委员会《关于修改〈证券公司风险控制指标管理办法〉的决定》修正</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Pr>
          <w:rStyle w:val="a4"/>
          <w:rFonts w:ascii="����" w:hAnsi="����"/>
          <w:color w:val="444444"/>
          <w:sz w:val="21"/>
          <w:szCs w:val="21"/>
        </w:rPr>
        <w:t xml:space="preserve">  </w:t>
      </w:r>
      <w:r w:rsidR="00B25C80">
        <w:rPr>
          <w:rStyle w:val="a4"/>
          <w:rFonts w:ascii="����" w:hAnsi="����"/>
          <w:color w:val="444444"/>
          <w:sz w:val="21"/>
          <w:szCs w:val="21"/>
        </w:rPr>
        <w:t>第一章</w:t>
      </w:r>
      <w:r w:rsidR="00360885">
        <w:rPr>
          <w:rStyle w:val="a4"/>
          <w:rFonts w:ascii="����" w:hAnsi="����" w:hint="eastAsia"/>
          <w:color w:val="444444"/>
          <w:sz w:val="21"/>
          <w:szCs w:val="21"/>
        </w:rPr>
        <w:t xml:space="preserve">  </w:t>
      </w:r>
      <w:r w:rsidR="00B25C80">
        <w:rPr>
          <w:rStyle w:val="a4"/>
          <w:rFonts w:ascii="����" w:hAnsi="����"/>
          <w:color w:val="444444"/>
          <w:sz w:val="21"/>
          <w:szCs w:val="21"/>
        </w:rPr>
        <w:t>总则</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第一</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为了建立以净资本和流动性为核心的风险控制指标体系，加强证券公司风险监管，督促证券公司加强内部控制、提升风险管理水平、防范风险，根据《</w:t>
      </w:r>
      <w:hyperlink r:id="rId4" w:history="1">
        <w:r w:rsidR="00B25C80">
          <w:rPr>
            <w:rStyle w:val="a4"/>
            <w:rFonts w:ascii="����" w:hAnsi="����"/>
            <w:color w:val="333333"/>
            <w:sz w:val="21"/>
            <w:szCs w:val="21"/>
          </w:rPr>
          <w:t>证券法</w:t>
        </w:r>
      </w:hyperlink>
      <w:r w:rsidR="00B25C80">
        <w:rPr>
          <w:rFonts w:ascii="����" w:hAnsi="����"/>
          <w:color w:val="444444"/>
          <w:sz w:val="21"/>
          <w:szCs w:val="21"/>
        </w:rPr>
        <w:t>》等有关法律、行政法规，制定本办法。</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证券公司应当按照中国证券监督管理委员会</w:t>
      </w:r>
      <w:r w:rsidR="00B25C80">
        <w:rPr>
          <w:rFonts w:ascii="����" w:hAnsi="����"/>
          <w:color w:val="444444"/>
          <w:sz w:val="21"/>
          <w:szCs w:val="21"/>
        </w:rPr>
        <w:t>(</w:t>
      </w:r>
      <w:r w:rsidR="00B25C80">
        <w:rPr>
          <w:rFonts w:ascii="����" w:hAnsi="����"/>
          <w:color w:val="444444"/>
          <w:sz w:val="21"/>
          <w:szCs w:val="21"/>
        </w:rPr>
        <w:t>以下简称中国证监会</w:t>
      </w:r>
      <w:r w:rsidR="00B25C80">
        <w:rPr>
          <w:rFonts w:ascii="����" w:hAnsi="����"/>
          <w:color w:val="444444"/>
          <w:sz w:val="21"/>
          <w:szCs w:val="21"/>
        </w:rPr>
        <w:t>)</w:t>
      </w:r>
      <w:r w:rsidR="00B25C80">
        <w:rPr>
          <w:rFonts w:ascii="����" w:hAnsi="����"/>
          <w:color w:val="444444"/>
          <w:sz w:val="21"/>
          <w:szCs w:val="21"/>
        </w:rPr>
        <w:t>的有关规定，遵循审慎、实质重于形式的原则，计算净资本、风险覆盖率、资本杠杆率、流动性覆盖率、净稳定资金率等各项风险控制指标，编制净资本计算表、风险资本准备计算表、表内外资产总额计算表、流动性覆盖率计算表、净稳定资金率计算表、风险控制指标计算表等监管报表</w:t>
      </w:r>
      <w:r w:rsidR="00B25C80">
        <w:rPr>
          <w:rFonts w:ascii="����" w:hAnsi="����"/>
          <w:color w:val="444444"/>
          <w:sz w:val="21"/>
          <w:szCs w:val="21"/>
        </w:rPr>
        <w:t>(</w:t>
      </w:r>
      <w:r w:rsidR="00B25C80">
        <w:rPr>
          <w:rFonts w:ascii="����" w:hAnsi="����"/>
          <w:color w:val="444444"/>
          <w:sz w:val="21"/>
          <w:szCs w:val="21"/>
        </w:rPr>
        <w:t>以下统称风险控制指标监管报表</w:t>
      </w:r>
      <w:r w:rsidR="00B25C80">
        <w:rPr>
          <w:rFonts w:ascii="����" w:hAnsi="����"/>
          <w:color w:val="444444"/>
          <w:sz w:val="21"/>
          <w:szCs w:val="21"/>
        </w:rPr>
        <w:t>)</w:t>
      </w:r>
      <w:r w:rsidR="00B25C80">
        <w:rPr>
          <w:rFonts w:ascii="����" w:hAnsi="����"/>
          <w:color w:val="444444"/>
          <w:sz w:val="21"/>
          <w:szCs w:val="21"/>
        </w:rPr>
        <w:t>。</w:t>
      </w:r>
    </w:p>
    <w:p w:rsidR="00B25C80" w:rsidRPr="00364981" w:rsidRDefault="003C04E5" w:rsidP="00B25C80">
      <w:pPr>
        <w:pStyle w:val="a3"/>
        <w:spacing w:before="0" w:beforeAutospacing="0" w:after="0" w:afterAutospacing="0" w:line="450" w:lineRule="atLeast"/>
        <w:rPr>
          <w:rFonts w:ascii="����" w:hAnsi="����" w:hint="eastAsia"/>
          <w:color w:val="000000" w:themeColor="text1"/>
          <w:sz w:val="21"/>
          <w:szCs w:val="21"/>
        </w:rPr>
      </w:pPr>
      <w:r>
        <w:rPr>
          <w:rFonts w:ascii="����" w:hAnsi="����"/>
          <w:color w:val="444444"/>
          <w:sz w:val="21"/>
          <w:szCs w:val="21"/>
        </w:rPr>
        <w:t xml:space="preserve">  </w:t>
      </w:r>
      <w:r w:rsidRPr="00BD1017">
        <w:rPr>
          <w:rFonts w:ascii="����" w:hAnsi="����"/>
          <w:color w:val="000000" w:themeColor="text1"/>
          <w:sz w:val="21"/>
          <w:szCs w:val="21"/>
        </w:rPr>
        <w:t xml:space="preserve">  </w:t>
      </w:r>
      <w:r w:rsidR="00B25C80" w:rsidRPr="00BD1017">
        <w:rPr>
          <w:rFonts w:ascii="����" w:hAnsi="����"/>
          <w:color w:val="000000" w:themeColor="text1"/>
          <w:sz w:val="21"/>
          <w:szCs w:val="21"/>
        </w:rPr>
        <w:t>第三</w:t>
      </w:r>
      <w:r w:rsidRPr="00BD1017">
        <w:rPr>
          <w:rFonts w:ascii="����" w:hAnsi="����"/>
          <w:color w:val="000000" w:themeColor="text1"/>
          <w:sz w:val="21"/>
          <w:szCs w:val="21"/>
        </w:rPr>
        <w:t>条</w:t>
      </w:r>
      <w:r w:rsidRPr="00364981">
        <w:rPr>
          <w:rFonts w:ascii="����" w:hAnsi="����"/>
          <w:color w:val="000000" w:themeColor="text1"/>
          <w:sz w:val="21"/>
          <w:szCs w:val="21"/>
        </w:rPr>
        <w:t xml:space="preserve">  </w:t>
      </w:r>
      <w:r w:rsidR="00B25C80" w:rsidRPr="00364981">
        <w:rPr>
          <w:rFonts w:ascii="����" w:hAnsi="����"/>
          <w:color w:val="000000" w:themeColor="text1"/>
          <w:sz w:val="21"/>
          <w:szCs w:val="21"/>
        </w:rPr>
        <w:t>中国证监会可以根据市场发展情况和审慎监管原则，对各项风险控制指标标准及计算要求进行动态调整</w:t>
      </w:r>
      <w:r w:rsidR="00B25C80" w:rsidRPr="00364981">
        <w:rPr>
          <w:rFonts w:ascii="����" w:hAnsi="����"/>
          <w:color w:val="000000" w:themeColor="text1"/>
          <w:sz w:val="21"/>
          <w:szCs w:val="21"/>
        </w:rPr>
        <w:t>;</w:t>
      </w:r>
      <w:r w:rsidR="00B25C80" w:rsidRPr="00364981">
        <w:rPr>
          <w:rFonts w:ascii="����" w:hAnsi="����"/>
          <w:color w:val="000000" w:themeColor="text1"/>
          <w:sz w:val="21"/>
          <w:szCs w:val="21"/>
        </w:rPr>
        <w:t>调整之前，应当公开征求行业意见，并为调整事项的实施作出过渡性安排。</w:t>
      </w:r>
    </w:p>
    <w:p w:rsidR="00B25C80" w:rsidRPr="00364981" w:rsidRDefault="003C04E5" w:rsidP="00B25C80">
      <w:pPr>
        <w:pStyle w:val="a3"/>
        <w:spacing w:before="0" w:beforeAutospacing="0" w:after="0" w:afterAutospacing="0" w:line="450" w:lineRule="atLeast"/>
        <w:rPr>
          <w:rFonts w:ascii="����" w:hAnsi="����" w:hint="eastAsia"/>
          <w:color w:val="000000" w:themeColor="text1"/>
          <w:sz w:val="21"/>
          <w:szCs w:val="21"/>
        </w:rPr>
      </w:pPr>
      <w:r w:rsidRPr="00364981">
        <w:rPr>
          <w:rFonts w:ascii="����" w:hAnsi="����"/>
          <w:color w:val="000000" w:themeColor="text1"/>
          <w:sz w:val="21"/>
          <w:szCs w:val="21"/>
        </w:rPr>
        <w:t xml:space="preserve">    </w:t>
      </w:r>
      <w:r w:rsidR="00B25C80" w:rsidRPr="00364981">
        <w:rPr>
          <w:rFonts w:ascii="����" w:hAnsi="����"/>
          <w:color w:val="000000" w:themeColor="text1"/>
          <w:sz w:val="21"/>
          <w:szCs w:val="21"/>
        </w:rPr>
        <w:t>对于未规定风险控制指标标准及计算要求的新产品、新业务，证券公司在投资该产品或者开展该业务前，应当按照规定事先向中国证监会、公司注册地的中国证监会派出机构</w:t>
      </w:r>
      <w:r w:rsidR="00B25C80" w:rsidRPr="00364981">
        <w:rPr>
          <w:rFonts w:ascii="����" w:hAnsi="����"/>
          <w:color w:val="000000" w:themeColor="text1"/>
          <w:sz w:val="21"/>
          <w:szCs w:val="21"/>
        </w:rPr>
        <w:t>(</w:t>
      </w:r>
      <w:r w:rsidR="00B25C80" w:rsidRPr="00364981">
        <w:rPr>
          <w:rFonts w:ascii="����" w:hAnsi="����"/>
          <w:color w:val="000000" w:themeColor="text1"/>
          <w:sz w:val="21"/>
          <w:szCs w:val="21"/>
        </w:rPr>
        <w:t>以下简称派出机构</w:t>
      </w:r>
      <w:r w:rsidR="00B25C80" w:rsidRPr="00364981">
        <w:rPr>
          <w:rFonts w:ascii="����" w:hAnsi="����"/>
          <w:color w:val="000000" w:themeColor="text1"/>
          <w:sz w:val="21"/>
          <w:szCs w:val="21"/>
        </w:rPr>
        <w:t>)</w:t>
      </w:r>
      <w:r w:rsidR="00B25C80" w:rsidRPr="00364981">
        <w:rPr>
          <w:rFonts w:ascii="����" w:hAnsi="����"/>
          <w:color w:val="000000" w:themeColor="text1"/>
          <w:sz w:val="21"/>
          <w:szCs w:val="21"/>
        </w:rPr>
        <w:t>报告或者报批。中国证监会根据证券公司新产品、新业务的特点和风险状况，在征求行业意见基础上确定相应的风险控制指标标准及计算要求。</w:t>
      </w:r>
    </w:p>
    <w:p w:rsidR="00B25C80" w:rsidRPr="00364981" w:rsidRDefault="003C04E5" w:rsidP="00B25C80">
      <w:pPr>
        <w:pStyle w:val="a3"/>
        <w:spacing w:before="0" w:beforeAutospacing="0" w:after="0" w:afterAutospacing="0" w:line="450" w:lineRule="atLeast"/>
        <w:rPr>
          <w:rFonts w:ascii="����" w:hAnsi="����" w:hint="eastAsia"/>
          <w:color w:val="000000" w:themeColor="text1"/>
          <w:sz w:val="21"/>
          <w:szCs w:val="21"/>
        </w:rPr>
      </w:pPr>
      <w:r w:rsidRPr="00364981">
        <w:rPr>
          <w:rFonts w:ascii="����" w:hAnsi="����"/>
          <w:color w:val="000000" w:themeColor="text1"/>
          <w:sz w:val="21"/>
          <w:szCs w:val="21"/>
        </w:rPr>
        <w:t xml:space="preserve">    </w:t>
      </w:r>
      <w:r w:rsidR="00B25C80" w:rsidRPr="00364981">
        <w:rPr>
          <w:rFonts w:ascii="����" w:hAnsi="����"/>
          <w:color w:val="000000" w:themeColor="text1"/>
          <w:sz w:val="21"/>
          <w:szCs w:val="21"/>
        </w:rPr>
        <w:t>第四</w:t>
      </w:r>
      <w:r w:rsidRPr="00364981">
        <w:rPr>
          <w:rFonts w:ascii="����" w:hAnsi="����"/>
          <w:color w:val="000000" w:themeColor="text1"/>
          <w:sz w:val="21"/>
          <w:szCs w:val="21"/>
        </w:rPr>
        <w:t>条</w:t>
      </w:r>
      <w:r w:rsidRPr="00364981">
        <w:rPr>
          <w:rFonts w:ascii="����" w:hAnsi="����"/>
          <w:color w:val="000000" w:themeColor="text1"/>
          <w:sz w:val="21"/>
          <w:szCs w:val="21"/>
        </w:rPr>
        <w:t xml:space="preserve">  </w:t>
      </w:r>
      <w:r w:rsidR="00B25C80" w:rsidRPr="00364981">
        <w:rPr>
          <w:rFonts w:ascii="����" w:hAnsi="����"/>
          <w:color w:val="000000" w:themeColor="text1"/>
          <w:sz w:val="21"/>
          <w:szCs w:val="21"/>
        </w:rPr>
        <w:t>中国证监会可以按照分类监管原则，根据证券公司的治理结构、内控水平和风险控制情况，对不同类别公司的风险控制指标标准和计算要求，以及某项业务的风险资本准备计算比例进行动态调整。</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第五</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中国证监会及其派出机构应当对证券公司净资本等各项风险控制指标数据的生成过程及计算结果的真实性、准确性、完整性进行定期或者不定期检查。</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中国证监会及其派出机构可以根据监管需要，要求证券公司聘请具有证券、期货相关业务资格的会计师事务所对其风险控制指标监管报表进行审计。</w:t>
      </w:r>
      <w:bookmarkStart w:id="0" w:name="_GoBack"/>
      <w:bookmarkEnd w:id="0"/>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lastRenderedPageBreak/>
        <w:t xml:space="preserve">    </w:t>
      </w:r>
      <w:r w:rsidR="00B25C80">
        <w:rPr>
          <w:rFonts w:ascii="����" w:hAnsi="����"/>
          <w:color w:val="444444"/>
          <w:sz w:val="21"/>
          <w:szCs w:val="21"/>
        </w:rPr>
        <w:t>第六</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根据中国证监会有关规定建立符合自身发展战略需要的全面风险管理体系。证券公司应当将所有子公司以及比照子公司管理的各类孙公司纳入全面风险管理体系，强化分支机构风险管理，实现风险管理全覆盖。全面风险管理体系应当包括可操作的管理制度、健全的组织架构、可靠的信息技术系统、量化的风险指标体系、专业的人才队伍、有效的风险应对机制。</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证券公司应当任命一名具有风险管理相关专业背景、任职经历、履职能力的高级管理人员为首席风险官，由其负责全面风险管理工作。</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第七</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证券公司应当根据自身资产负债状况和业务发展情况，建立动态的风险控制指标监控和资本补足机制，确保净资本等各项风险控制指标在任一时点都符合规定标准。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证券公司应当在发生重大业务事项及分配利润前对风险控制指标进行压力测试，合理确定有关业务及分配利润的最大规模。</w:t>
      </w:r>
    </w:p>
    <w:p w:rsidR="00B25C80" w:rsidRDefault="00B25C80" w:rsidP="00B25C80">
      <w:pPr>
        <w:pStyle w:val="a3"/>
        <w:spacing w:before="0" w:beforeAutospacing="0" w:after="0" w:afterAutospacing="0" w:line="450" w:lineRule="atLeast"/>
        <w:ind w:firstLine="420"/>
        <w:rPr>
          <w:rFonts w:ascii="����" w:hAnsi="����" w:hint="eastAsia"/>
          <w:color w:val="444444"/>
          <w:sz w:val="21"/>
          <w:szCs w:val="21"/>
        </w:rPr>
      </w:pPr>
      <w:r>
        <w:rPr>
          <w:rFonts w:ascii="����" w:hAnsi="����"/>
          <w:color w:val="444444"/>
          <w:sz w:val="21"/>
          <w:szCs w:val="21"/>
        </w:rPr>
        <w:t>证券公司应当建立健全压力测试机制，及时根据市场变化情况及监管部门要求，对公司风险控制指标进行压力测试。</w:t>
      </w:r>
    </w:p>
    <w:p w:rsidR="00B25C80" w:rsidRDefault="00B25C80"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压力测试结果显示风险超过证券公司自身承受能力范围的，证券公司应采取措施控制业务规模或降低风险。</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第八</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证券公司应当聘请具有证券、期货相关业务资格的会计师事务所对其年度风险控制指标监管报表进行审计。</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第九</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会计师事务所及其注册会计师应当勤勉尽责，对证券公司风险控制指标监管报表的真实性、准确性、完整性进行审计，并发表恰当的审计意见。</w:t>
      </w:r>
    </w:p>
    <w:p w:rsidR="000D6D2B" w:rsidRDefault="003C04E5" w:rsidP="00B25C80">
      <w:pPr>
        <w:pStyle w:val="a3"/>
        <w:spacing w:before="0" w:beforeAutospacing="0" w:after="0" w:afterAutospacing="0" w:line="450" w:lineRule="atLeast"/>
        <w:rPr>
          <w:rStyle w:val="a4"/>
          <w:rFonts w:ascii="����" w:hAnsi="����" w:hint="eastAsia"/>
          <w:color w:val="444444"/>
          <w:sz w:val="21"/>
          <w:szCs w:val="21"/>
        </w:rPr>
      </w:pPr>
      <w:r>
        <w:rPr>
          <w:rFonts w:ascii="����" w:hAnsi="����"/>
          <w:color w:val="444444"/>
          <w:sz w:val="21"/>
          <w:szCs w:val="21"/>
        </w:rPr>
        <w:t xml:space="preserve">  </w:t>
      </w:r>
      <w:r>
        <w:rPr>
          <w:rStyle w:val="a4"/>
          <w:rFonts w:ascii="����" w:hAnsi="����"/>
          <w:color w:val="444444"/>
          <w:sz w:val="21"/>
          <w:szCs w:val="21"/>
        </w:rPr>
        <w:t xml:space="preserve"> </w:t>
      </w:r>
    </w:p>
    <w:p w:rsidR="00B25C80" w:rsidRDefault="003C04E5" w:rsidP="000D6D2B">
      <w:pPr>
        <w:pStyle w:val="a3"/>
        <w:spacing w:before="0" w:beforeAutospacing="0" w:after="0" w:afterAutospacing="0" w:line="450" w:lineRule="atLeast"/>
        <w:ind w:firstLineChars="200" w:firstLine="422"/>
        <w:rPr>
          <w:rFonts w:ascii="����" w:hAnsi="����" w:hint="eastAsia"/>
          <w:color w:val="444444"/>
          <w:sz w:val="21"/>
          <w:szCs w:val="21"/>
        </w:rPr>
      </w:pPr>
      <w:r>
        <w:rPr>
          <w:rStyle w:val="a4"/>
          <w:rFonts w:ascii="����" w:hAnsi="����"/>
          <w:color w:val="444444"/>
          <w:sz w:val="21"/>
          <w:szCs w:val="21"/>
        </w:rPr>
        <w:t xml:space="preserve"> </w:t>
      </w:r>
      <w:r w:rsidR="00B25C80">
        <w:rPr>
          <w:rStyle w:val="a4"/>
          <w:rFonts w:ascii="����" w:hAnsi="����"/>
          <w:color w:val="444444"/>
          <w:sz w:val="21"/>
          <w:szCs w:val="21"/>
        </w:rPr>
        <w:t>第二章</w:t>
      </w:r>
      <w:r w:rsidR="00360885">
        <w:rPr>
          <w:rStyle w:val="a4"/>
          <w:rFonts w:ascii="����" w:hAnsi="����" w:hint="eastAsia"/>
          <w:color w:val="444444"/>
          <w:sz w:val="21"/>
          <w:szCs w:val="21"/>
        </w:rPr>
        <w:t xml:space="preserve">  </w:t>
      </w:r>
      <w:r w:rsidR="00B25C80">
        <w:rPr>
          <w:rStyle w:val="a4"/>
          <w:rFonts w:ascii="����" w:hAnsi="����"/>
          <w:color w:val="444444"/>
          <w:sz w:val="21"/>
          <w:szCs w:val="21"/>
        </w:rPr>
        <w:t>净资本及其计算</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证券公司净资本由核心净资本和附属净资本构成。</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其中：</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核心净资本</w:t>
      </w:r>
      <w:r w:rsidR="00B25C80">
        <w:rPr>
          <w:rFonts w:ascii="����" w:hAnsi="����"/>
          <w:color w:val="444444"/>
          <w:sz w:val="21"/>
          <w:szCs w:val="21"/>
        </w:rPr>
        <w:t>=</w:t>
      </w:r>
      <w:r w:rsidR="00B25C80">
        <w:rPr>
          <w:rFonts w:ascii="����" w:hAnsi="����"/>
          <w:color w:val="444444"/>
          <w:sz w:val="21"/>
          <w:szCs w:val="21"/>
        </w:rPr>
        <w:t>净资产</w:t>
      </w:r>
      <w:r w:rsidR="00B25C80">
        <w:rPr>
          <w:rFonts w:ascii="����" w:hAnsi="����"/>
          <w:color w:val="444444"/>
          <w:sz w:val="21"/>
          <w:szCs w:val="21"/>
        </w:rPr>
        <w:t>-</w:t>
      </w:r>
      <w:r w:rsidR="00B25C80">
        <w:rPr>
          <w:rFonts w:ascii="����" w:hAnsi="����"/>
          <w:color w:val="444444"/>
          <w:sz w:val="21"/>
          <w:szCs w:val="21"/>
        </w:rPr>
        <w:t>资产项目的风险调整</w:t>
      </w:r>
      <w:r w:rsidR="00B25C80">
        <w:rPr>
          <w:rFonts w:ascii="����" w:hAnsi="����"/>
          <w:color w:val="444444"/>
          <w:sz w:val="21"/>
          <w:szCs w:val="21"/>
        </w:rPr>
        <w:t>-</w:t>
      </w:r>
      <w:r w:rsidR="00B25C80">
        <w:rPr>
          <w:rFonts w:ascii="����" w:hAnsi="����"/>
          <w:color w:val="444444"/>
          <w:sz w:val="21"/>
          <w:szCs w:val="21"/>
        </w:rPr>
        <w:t>或有负债的风险调整</w:t>
      </w:r>
      <w:r w:rsidR="00B25C80">
        <w:rPr>
          <w:rFonts w:ascii="����" w:hAnsi="����"/>
          <w:color w:val="444444"/>
          <w:sz w:val="21"/>
          <w:szCs w:val="21"/>
        </w:rPr>
        <w:t>-/+</w:t>
      </w:r>
      <w:r w:rsidR="00B25C80">
        <w:rPr>
          <w:rFonts w:ascii="����" w:hAnsi="����"/>
          <w:color w:val="444444"/>
          <w:sz w:val="21"/>
          <w:szCs w:val="21"/>
        </w:rPr>
        <w:t>中国证监会认定或核准的其他调整项目。</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附属净资本</w:t>
      </w:r>
      <w:r w:rsidR="00B25C80">
        <w:rPr>
          <w:rFonts w:ascii="����" w:hAnsi="����"/>
          <w:color w:val="444444"/>
          <w:sz w:val="21"/>
          <w:szCs w:val="21"/>
        </w:rPr>
        <w:t>=</w:t>
      </w:r>
      <w:r w:rsidR="00B25C80">
        <w:rPr>
          <w:rFonts w:ascii="����" w:hAnsi="����"/>
          <w:color w:val="444444"/>
          <w:sz w:val="21"/>
          <w:szCs w:val="21"/>
        </w:rPr>
        <w:t>长期次级债</w:t>
      </w:r>
      <w:r w:rsidR="00B25C80">
        <w:rPr>
          <w:rFonts w:ascii="����" w:hAnsi="����"/>
          <w:color w:val="444444"/>
          <w:sz w:val="21"/>
          <w:szCs w:val="21"/>
        </w:rPr>
        <w:t>×</w:t>
      </w:r>
      <w:r w:rsidR="00B25C80">
        <w:rPr>
          <w:rFonts w:ascii="����" w:hAnsi="����"/>
          <w:color w:val="444444"/>
          <w:sz w:val="21"/>
          <w:szCs w:val="21"/>
        </w:rPr>
        <w:t>规定比例</w:t>
      </w:r>
      <w:r w:rsidR="00B25C80">
        <w:rPr>
          <w:rFonts w:ascii="����" w:hAnsi="����"/>
          <w:color w:val="444444"/>
          <w:sz w:val="21"/>
          <w:szCs w:val="21"/>
        </w:rPr>
        <w:t>-/+</w:t>
      </w:r>
      <w:r w:rsidR="00B25C80">
        <w:rPr>
          <w:rFonts w:ascii="����" w:hAnsi="����"/>
          <w:color w:val="444444"/>
          <w:sz w:val="21"/>
          <w:szCs w:val="21"/>
        </w:rPr>
        <w:t>中国证监会认定或核准的其他调整项目。</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第十一</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证券公司应当按照中国证监会规定的证券公司净资本计算标准计算净资本。</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第十二</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证券公司计算核心净资本时，应当按照规定对有关项目充分计提资产减值准备。</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lastRenderedPageBreak/>
        <w:t xml:space="preserve">    </w:t>
      </w:r>
      <w:r w:rsidR="00B25C80">
        <w:rPr>
          <w:rFonts w:ascii="����" w:hAnsi="����"/>
          <w:color w:val="444444"/>
          <w:sz w:val="21"/>
          <w:szCs w:val="21"/>
        </w:rPr>
        <w:t>中国证监会及其派出机构可以要求公司专项说明资产减值准备提取的充足性和合理性。有证据表明公司未充分计提资产减值准备的，中国证监会及其派出机构可以责令公司整改并追究相关人员责任。</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第十三</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证券公司应当根据公司期末或有事项的性质</w:t>
      </w:r>
      <w:r w:rsidR="00B25C80">
        <w:rPr>
          <w:rFonts w:ascii="����" w:hAnsi="����"/>
          <w:color w:val="444444"/>
          <w:sz w:val="21"/>
          <w:szCs w:val="21"/>
        </w:rPr>
        <w:t>(</w:t>
      </w:r>
      <w:r w:rsidR="00B25C80">
        <w:rPr>
          <w:rFonts w:ascii="����" w:hAnsi="����"/>
          <w:color w:val="444444"/>
          <w:sz w:val="21"/>
          <w:szCs w:val="21"/>
        </w:rPr>
        <w:t>如未决诉讼、未决仲裁、对外提供担保等</w:t>
      </w:r>
      <w:r w:rsidR="00B25C80">
        <w:rPr>
          <w:rFonts w:ascii="����" w:hAnsi="����"/>
          <w:color w:val="444444"/>
          <w:sz w:val="21"/>
          <w:szCs w:val="21"/>
        </w:rPr>
        <w:t>)</w:t>
      </w:r>
      <w:r w:rsidR="00B25C80">
        <w:rPr>
          <w:rFonts w:ascii="����" w:hAnsi="����"/>
          <w:color w:val="444444"/>
          <w:sz w:val="21"/>
          <w:szCs w:val="21"/>
        </w:rPr>
        <w:t>、涉及金额、形成原因和进展情况、可能发生的损失和预计损失进行相应会计处理。对于很可能导致经济利益流出公司的或有事项，应当确认预计负债</w:t>
      </w:r>
      <w:r w:rsidR="00B25C80">
        <w:rPr>
          <w:rFonts w:ascii="����" w:hAnsi="����"/>
          <w:color w:val="444444"/>
          <w:sz w:val="21"/>
          <w:szCs w:val="21"/>
        </w:rPr>
        <w:t>;</w:t>
      </w:r>
      <w:r w:rsidR="00B25C80">
        <w:rPr>
          <w:rFonts w:ascii="����" w:hAnsi="����"/>
          <w:color w:val="444444"/>
          <w:sz w:val="21"/>
          <w:szCs w:val="21"/>
        </w:rPr>
        <w:t>对于未确认预计负债，但仍可能导致经济利益流出公司的或有事项，在计算核心净资本时，应当作为或有负债，按照一定比例在净资本中予以扣减，并在净资本计算表的附注中披露。</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第十四</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对控股证券业务子公司出具承诺书提供担保承诺的，应当按照担保承诺金额的一定比例扣减核心净资本。从事证券承销与保荐、证券资产管理业务等中国证监会认可的子公司可以将母公司提供的担保承诺按照一定比例计入核心净资本。</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第十五</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证券公司向股东或机构投资者借入或发行的次级债，可以按照一定比例计入附属净资本或扣减风险资本准备。具体规定由中国证监会另行制定。</w:t>
      </w:r>
    </w:p>
    <w:p w:rsidR="000D6D2B" w:rsidRDefault="003C04E5" w:rsidP="00B25C80">
      <w:pPr>
        <w:pStyle w:val="a3"/>
        <w:spacing w:before="0" w:beforeAutospacing="0" w:after="0" w:afterAutospacing="0" w:line="450" w:lineRule="atLeast"/>
        <w:rPr>
          <w:rStyle w:val="a4"/>
          <w:rFonts w:ascii="����" w:hAnsi="����" w:hint="eastAsia"/>
          <w:color w:val="444444"/>
          <w:sz w:val="21"/>
          <w:szCs w:val="21"/>
        </w:rPr>
      </w:pPr>
      <w:r>
        <w:rPr>
          <w:rFonts w:ascii="����" w:hAnsi="����"/>
          <w:color w:val="444444"/>
          <w:sz w:val="21"/>
          <w:szCs w:val="21"/>
        </w:rPr>
        <w:t xml:space="preserve">  </w:t>
      </w:r>
      <w:r>
        <w:rPr>
          <w:rStyle w:val="a4"/>
          <w:rFonts w:ascii="����" w:hAnsi="����"/>
          <w:color w:val="444444"/>
          <w:sz w:val="21"/>
          <w:szCs w:val="21"/>
        </w:rPr>
        <w:t xml:space="preserve"> </w:t>
      </w:r>
    </w:p>
    <w:p w:rsidR="00B25C80" w:rsidRDefault="003C04E5" w:rsidP="000D6D2B">
      <w:pPr>
        <w:pStyle w:val="a3"/>
        <w:spacing w:before="0" w:beforeAutospacing="0" w:after="0" w:afterAutospacing="0" w:line="450" w:lineRule="atLeast"/>
        <w:ind w:firstLineChars="200" w:firstLine="422"/>
        <w:rPr>
          <w:rFonts w:ascii="����" w:hAnsi="����" w:hint="eastAsia"/>
          <w:color w:val="444444"/>
          <w:sz w:val="21"/>
          <w:szCs w:val="21"/>
        </w:rPr>
      </w:pPr>
      <w:r>
        <w:rPr>
          <w:rStyle w:val="a4"/>
          <w:rFonts w:ascii="����" w:hAnsi="����"/>
          <w:color w:val="444444"/>
          <w:sz w:val="21"/>
          <w:szCs w:val="21"/>
        </w:rPr>
        <w:t xml:space="preserve"> </w:t>
      </w:r>
      <w:r w:rsidR="00B25C80">
        <w:rPr>
          <w:rStyle w:val="a4"/>
          <w:rFonts w:ascii="����" w:hAnsi="����"/>
          <w:color w:val="444444"/>
          <w:sz w:val="21"/>
          <w:szCs w:val="21"/>
        </w:rPr>
        <w:t>第三章</w:t>
      </w:r>
      <w:r w:rsidR="00360885">
        <w:rPr>
          <w:rStyle w:val="a4"/>
          <w:rFonts w:ascii="����" w:hAnsi="����" w:hint="eastAsia"/>
          <w:color w:val="444444"/>
          <w:sz w:val="21"/>
          <w:szCs w:val="21"/>
        </w:rPr>
        <w:t xml:space="preserve">  </w:t>
      </w:r>
      <w:r w:rsidR="00B25C80">
        <w:rPr>
          <w:rStyle w:val="a4"/>
          <w:rFonts w:ascii="����" w:hAnsi="����"/>
          <w:color w:val="444444"/>
          <w:sz w:val="21"/>
          <w:szCs w:val="21"/>
        </w:rPr>
        <w:t>风险控制指标标准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第十六</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证券公司经营证券经纪业务的，其净资本不得低于人民币</w:t>
      </w:r>
      <w:r w:rsidR="00B25C80">
        <w:rPr>
          <w:rFonts w:ascii="����" w:hAnsi="����"/>
          <w:color w:val="444444"/>
          <w:sz w:val="21"/>
          <w:szCs w:val="21"/>
        </w:rPr>
        <w:t xml:space="preserve">2000 </w:t>
      </w:r>
      <w:r w:rsidR="00B25C80">
        <w:rPr>
          <w:rFonts w:ascii="����" w:hAnsi="����"/>
          <w:color w:val="444444"/>
          <w:sz w:val="21"/>
          <w:szCs w:val="21"/>
        </w:rPr>
        <w:t>万元。</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证券公司经营证券承销与保荐、证券自营、证券资产管理、其他证券业务等业务之一的，其净资本不得低于人民币</w:t>
      </w:r>
      <w:r w:rsidR="00B25C80">
        <w:rPr>
          <w:rFonts w:ascii="����" w:hAnsi="����"/>
          <w:color w:val="444444"/>
          <w:sz w:val="21"/>
          <w:szCs w:val="21"/>
        </w:rPr>
        <w:t xml:space="preserve">5000 </w:t>
      </w:r>
      <w:r w:rsidR="00B25C80">
        <w:rPr>
          <w:rFonts w:ascii="����" w:hAnsi="����"/>
          <w:color w:val="444444"/>
          <w:sz w:val="21"/>
          <w:szCs w:val="21"/>
        </w:rPr>
        <w:t>万元。</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证券公司经营证券经纪业务，同时经营证券承销与保荐、证券自营、证券资产管理、其他证券业务等业务之一的，其净资本不得低于人民币</w:t>
      </w:r>
      <w:r w:rsidR="00B25C80">
        <w:rPr>
          <w:rFonts w:ascii="����" w:hAnsi="����"/>
          <w:color w:val="444444"/>
          <w:sz w:val="21"/>
          <w:szCs w:val="21"/>
        </w:rPr>
        <w:t xml:space="preserve">1 </w:t>
      </w:r>
      <w:r w:rsidR="00B25C80">
        <w:rPr>
          <w:rFonts w:ascii="����" w:hAnsi="����"/>
          <w:color w:val="444444"/>
          <w:sz w:val="21"/>
          <w:szCs w:val="21"/>
        </w:rPr>
        <w:t>亿元。</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证券公司经营证券承销与保荐、证券自营、证券资产管理、其他证券业务中两项及两项以上的，其净资本不得低于人民币</w:t>
      </w:r>
      <w:r w:rsidR="00B25C80">
        <w:rPr>
          <w:rFonts w:ascii="����" w:hAnsi="����"/>
          <w:color w:val="444444"/>
          <w:sz w:val="21"/>
          <w:szCs w:val="21"/>
        </w:rPr>
        <w:t xml:space="preserve">2 </w:t>
      </w:r>
      <w:r w:rsidR="00B25C80">
        <w:rPr>
          <w:rFonts w:ascii="����" w:hAnsi="����"/>
          <w:color w:val="444444"/>
          <w:sz w:val="21"/>
          <w:szCs w:val="21"/>
        </w:rPr>
        <w:t>亿元。</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第十七</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证券公司必须持续符合下列风险控制指标标准：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一</w:t>
      </w:r>
      <w:r w:rsidR="00B25C80">
        <w:rPr>
          <w:rFonts w:ascii="����" w:hAnsi="����"/>
          <w:color w:val="444444"/>
          <w:sz w:val="21"/>
          <w:szCs w:val="21"/>
        </w:rPr>
        <w:t>)</w:t>
      </w:r>
      <w:r w:rsidR="00B25C80">
        <w:rPr>
          <w:rFonts w:ascii="����" w:hAnsi="����"/>
          <w:color w:val="444444"/>
          <w:sz w:val="21"/>
          <w:szCs w:val="21"/>
        </w:rPr>
        <w:t>风险覆盖率不得低于</w:t>
      </w:r>
      <w:r w:rsidR="00B25C80">
        <w:rPr>
          <w:rFonts w:ascii="����" w:hAnsi="����"/>
          <w:color w:val="444444"/>
          <w:sz w:val="21"/>
          <w:szCs w:val="21"/>
        </w:rPr>
        <w:t>100%;</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二</w:t>
      </w:r>
      <w:r w:rsidR="00B25C80">
        <w:rPr>
          <w:rFonts w:ascii="����" w:hAnsi="����"/>
          <w:color w:val="444444"/>
          <w:sz w:val="21"/>
          <w:szCs w:val="21"/>
        </w:rPr>
        <w:t>)</w:t>
      </w:r>
      <w:r w:rsidR="00B25C80">
        <w:rPr>
          <w:rFonts w:ascii="����" w:hAnsi="����"/>
          <w:color w:val="444444"/>
          <w:sz w:val="21"/>
          <w:szCs w:val="21"/>
        </w:rPr>
        <w:t>资本杠杆率不得低于</w:t>
      </w:r>
      <w:r w:rsidR="00B25C80">
        <w:rPr>
          <w:rFonts w:ascii="����" w:hAnsi="����"/>
          <w:color w:val="444444"/>
          <w:sz w:val="21"/>
          <w:szCs w:val="21"/>
        </w:rPr>
        <w:t>8%;</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三</w:t>
      </w:r>
      <w:r w:rsidR="00B25C80">
        <w:rPr>
          <w:rFonts w:ascii="����" w:hAnsi="����"/>
          <w:color w:val="444444"/>
          <w:sz w:val="21"/>
          <w:szCs w:val="21"/>
        </w:rPr>
        <w:t>)</w:t>
      </w:r>
      <w:r w:rsidR="00B25C80">
        <w:rPr>
          <w:rFonts w:ascii="����" w:hAnsi="����"/>
          <w:color w:val="444444"/>
          <w:sz w:val="21"/>
          <w:szCs w:val="21"/>
        </w:rPr>
        <w:t>流动性覆盖率不得低于</w:t>
      </w:r>
      <w:r w:rsidR="00B25C80">
        <w:rPr>
          <w:rFonts w:ascii="����" w:hAnsi="����"/>
          <w:color w:val="444444"/>
          <w:sz w:val="21"/>
          <w:szCs w:val="21"/>
        </w:rPr>
        <w:t>100%;</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四</w:t>
      </w:r>
      <w:r w:rsidR="00B25C80">
        <w:rPr>
          <w:rFonts w:ascii="����" w:hAnsi="����"/>
          <w:color w:val="444444"/>
          <w:sz w:val="21"/>
          <w:szCs w:val="21"/>
        </w:rPr>
        <w:t>)</w:t>
      </w:r>
      <w:r w:rsidR="00B25C80">
        <w:rPr>
          <w:rFonts w:ascii="����" w:hAnsi="����"/>
          <w:color w:val="444444"/>
          <w:sz w:val="21"/>
          <w:szCs w:val="21"/>
        </w:rPr>
        <w:t>净稳定资金率不得低于</w:t>
      </w:r>
      <w:r w:rsidR="00B25C80">
        <w:rPr>
          <w:rFonts w:ascii="����" w:hAnsi="����"/>
          <w:color w:val="444444"/>
          <w:sz w:val="21"/>
          <w:szCs w:val="21"/>
        </w:rPr>
        <w:t>100%;</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其中：</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风险覆盖率</w:t>
      </w:r>
      <w:r w:rsidR="00B25C80">
        <w:rPr>
          <w:rFonts w:ascii="����" w:hAnsi="����"/>
          <w:color w:val="444444"/>
          <w:sz w:val="21"/>
          <w:szCs w:val="21"/>
        </w:rPr>
        <w:t>=</w:t>
      </w:r>
      <w:r w:rsidR="00B25C80">
        <w:rPr>
          <w:rFonts w:ascii="����" w:hAnsi="����"/>
          <w:color w:val="444444"/>
          <w:sz w:val="21"/>
          <w:szCs w:val="21"/>
        </w:rPr>
        <w:t>净资本</w:t>
      </w:r>
      <w:r w:rsidR="00B25C80">
        <w:rPr>
          <w:rFonts w:ascii="����" w:hAnsi="����"/>
          <w:color w:val="444444"/>
          <w:sz w:val="21"/>
          <w:szCs w:val="21"/>
        </w:rPr>
        <w:t>/</w:t>
      </w:r>
      <w:r w:rsidR="00B25C80">
        <w:rPr>
          <w:rFonts w:ascii="����" w:hAnsi="����"/>
          <w:color w:val="444444"/>
          <w:sz w:val="21"/>
          <w:szCs w:val="21"/>
        </w:rPr>
        <w:t>各项风险资本准备之和</w:t>
      </w:r>
      <w:r w:rsidR="00B25C80">
        <w:rPr>
          <w:rFonts w:ascii="����" w:hAnsi="����"/>
          <w:color w:val="444444"/>
          <w:sz w:val="21"/>
          <w:szCs w:val="21"/>
        </w:rPr>
        <w:t>×100%;</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资本杠杆率</w:t>
      </w:r>
      <w:r w:rsidR="00B25C80">
        <w:rPr>
          <w:rFonts w:ascii="����" w:hAnsi="����"/>
          <w:color w:val="444444"/>
          <w:sz w:val="21"/>
          <w:szCs w:val="21"/>
        </w:rPr>
        <w:t>=</w:t>
      </w:r>
      <w:r w:rsidR="00B25C80">
        <w:rPr>
          <w:rFonts w:ascii="����" w:hAnsi="����"/>
          <w:color w:val="444444"/>
          <w:sz w:val="21"/>
          <w:szCs w:val="21"/>
        </w:rPr>
        <w:t>核心净资本</w:t>
      </w:r>
      <w:r w:rsidR="00B25C80">
        <w:rPr>
          <w:rFonts w:ascii="����" w:hAnsi="����"/>
          <w:color w:val="444444"/>
          <w:sz w:val="21"/>
          <w:szCs w:val="21"/>
        </w:rPr>
        <w:t>/</w:t>
      </w:r>
      <w:r w:rsidR="00B25C80">
        <w:rPr>
          <w:rFonts w:ascii="����" w:hAnsi="����"/>
          <w:color w:val="444444"/>
          <w:sz w:val="21"/>
          <w:szCs w:val="21"/>
        </w:rPr>
        <w:t>表内外资产总额</w:t>
      </w:r>
      <w:r w:rsidR="00B25C80">
        <w:rPr>
          <w:rFonts w:ascii="����" w:hAnsi="����"/>
          <w:color w:val="444444"/>
          <w:sz w:val="21"/>
          <w:szCs w:val="21"/>
        </w:rPr>
        <w:t>×100%;</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流动性覆盖率</w:t>
      </w:r>
      <w:r w:rsidR="00B25C80">
        <w:rPr>
          <w:rFonts w:ascii="����" w:hAnsi="����"/>
          <w:color w:val="444444"/>
          <w:sz w:val="21"/>
          <w:szCs w:val="21"/>
        </w:rPr>
        <w:t>=</w:t>
      </w:r>
      <w:r w:rsidR="00B25C80">
        <w:rPr>
          <w:rFonts w:ascii="����" w:hAnsi="����"/>
          <w:color w:val="444444"/>
          <w:sz w:val="21"/>
          <w:szCs w:val="21"/>
        </w:rPr>
        <w:t>优质流动性资产</w:t>
      </w:r>
      <w:r w:rsidR="00B25C80">
        <w:rPr>
          <w:rFonts w:ascii="����" w:hAnsi="����"/>
          <w:color w:val="444444"/>
          <w:sz w:val="21"/>
          <w:szCs w:val="21"/>
        </w:rPr>
        <w:t>/</w:t>
      </w:r>
      <w:r w:rsidR="00B25C80">
        <w:rPr>
          <w:rFonts w:ascii="����" w:hAnsi="����"/>
          <w:color w:val="444444"/>
          <w:sz w:val="21"/>
          <w:szCs w:val="21"/>
        </w:rPr>
        <w:t>未来</w:t>
      </w:r>
      <w:r w:rsidR="00B25C80">
        <w:rPr>
          <w:rFonts w:ascii="����" w:hAnsi="����"/>
          <w:color w:val="444444"/>
          <w:sz w:val="21"/>
          <w:szCs w:val="21"/>
        </w:rPr>
        <w:t xml:space="preserve">30 </w:t>
      </w:r>
      <w:r w:rsidR="00B25C80">
        <w:rPr>
          <w:rFonts w:ascii="����" w:hAnsi="����"/>
          <w:color w:val="444444"/>
          <w:sz w:val="21"/>
          <w:szCs w:val="21"/>
        </w:rPr>
        <w:t>天现金净流出量</w:t>
      </w:r>
      <w:r w:rsidR="00B25C80">
        <w:rPr>
          <w:rFonts w:ascii="����" w:hAnsi="����"/>
          <w:color w:val="444444"/>
          <w:sz w:val="21"/>
          <w:szCs w:val="21"/>
        </w:rPr>
        <w:t>×100%;</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lastRenderedPageBreak/>
        <w:t xml:space="preserve">    </w:t>
      </w:r>
      <w:r w:rsidR="00B25C80">
        <w:rPr>
          <w:rFonts w:ascii="����" w:hAnsi="����"/>
          <w:color w:val="444444"/>
          <w:sz w:val="21"/>
          <w:szCs w:val="21"/>
        </w:rPr>
        <w:t>净稳定资金率</w:t>
      </w:r>
      <w:r w:rsidR="00B25C80">
        <w:rPr>
          <w:rFonts w:ascii="����" w:hAnsi="����"/>
          <w:color w:val="444444"/>
          <w:sz w:val="21"/>
          <w:szCs w:val="21"/>
        </w:rPr>
        <w:t>=</w:t>
      </w:r>
      <w:r w:rsidR="00B25C80">
        <w:rPr>
          <w:rFonts w:ascii="����" w:hAnsi="����"/>
          <w:color w:val="444444"/>
          <w:sz w:val="21"/>
          <w:szCs w:val="21"/>
        </w:rPr>
        <w:t>可用稳定资金</w:t>
      </w:r>
      <w:r w:rsidR="00B25C80">
        <w:rPr>
          <w:rFonts w:ascii="����" w:hAnsi="����"/>
          <w:color w:val="444444"/>
          <w:sz w:val="21"/>
          <w:szCs w:val="21"/>
        </w:rPr>
        <w:t>/</w:t>
      </w:r>
      <w:r w:rsidR="00B25C80">
        <w:rPr>
          <w:rFonts w:ascii="����" w:hAnsi="����"/>
          <w:color w:val="444444"/>
          <w:sz w:val="21"/>
          <w:szCs w:val="21"/>
        </w:rPr>
        <w:t>所需稳定资金</w:t>
      </w:r>
      <w:r w:rsidR="00B25C80">
        <w:rPr>
          <w:rFonts w:ascii="����" w:hAnsi="����"/>
          <w:color w:val="444444"/>
          <w:sz w:val="21"/>
          <w:szCs w:val="21"/>
        </w:rPr>
        <w:t xml:space="preserve">×100% </w:t>
      </w:r>
      <w:r w:rsidR="00B25C80">
        <w:rPr>
          <w:rFonts w:ascii="����" w:hAnsi="����"/>
          <w:color w:val="444444"/>
          <w:sz w:val="21"/>
          <w:szCs w:val="21"/>
        </w:rPr>
        <w:t>。</w:t>
      </w:r>
    </w:p>
    <w:p w:rsidR="00B25C80" w:rsidRDefault="00B25C80" w:rsidP="00360885">
      <w:pPr>
        <w:pStyle w:val="a3"/>
        <w:spacing w:before="0" w:beforeAutospacing="0" w:after="0" w:afterAutospacing="0" w:line="450" w:lineRule="atLeast"/>
        <w:ind w:firstLineChars="200" w:firstLine="420"/>
        <w:rPr>
          <w:rFonts w:ascii="����" w:hAnsi="����" w:hint="eastAsia"/>
          <w:color w:val="444444"/>
          <w:sz w:val="21"/>
          <w:szCs w:val="21"/>
        </w:rPr>
      </w:pPr>
      <w:r>
        <w:rPr>
          <w:rFonts w:ascii="����" w:hAnsi="����"/>
          <w:color w:val="444444"/>
          <w:sz w:val="21"/>
          <w:szCs w:val="21"/>
        </w:rPr>
        <w:t>第十八</w:t>
      </w:r>
      <w:r w:rsidR="003C04E5">
        <w:rPr>
          <w:rFonts w:ascii="����" w:hAnsi="����"/>
          <w:color w:val="444444"/>
          <w:sz w:val="21"/>
          <w:szCs w:val="21"/>
        </w:rPr>
        <w:t>条</w:t>
      </w:r>
      <w:r w:rsidR="003C04E5">
        <w:rPr>
          <w:rFonts w:ascii="����" w:hAnsi="����"/>
          <w:color w:val="444444"/>
          <w:sz w:val="21"/>
          <w:szCs w:val="21"/>
        </w:rPr>
        <w:t xml:space="preserve">  </w:t>
      </w:r>
      <w:r>
        <w:rPr>
          <w:rFonts w:ascii="����" w:hAnsi="����"/>
          <w:color w:val="444444"/>
          <w:sz w:val="21"/>
          <w:szCs w:val="21"/>
        </w:rPr>
        <w:t>证券公司应当按照中国证监会规定的证券公司风险资本准备计算标准计算市场风险、信用风险、操作风险资本准备。中国证监会可以根据特定产品或业务的风险特征，以及监督检查结果，要求证券公司计算特定风险资本准备。</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市场风险资本准备按照各类金融工具市场风险特征的不同，用投资规模乘以风险系数计算</w:t>
      </w:r>
      <w:r w:rsidR="00B25C80">
        <w:rPr>
          <w:rFonts w:ascii="����" w:hAnsi="����"/>
          <w:color w:val="444444"/>
          <w:sz w:val="21"/>
          <w:szCs w:val="21"/>
        </w:rPr>
        <w:t>;</w:t>
      </w:r>
      <w:r w:rsidR="00B25C80">
        <w:rPr>
          <w:rFonts w:ascii="����" w:hAnsi="����"/>
          <w:color w:val="444444"/>
          <w:sz w:val="21"/>
          <w:szCs w:val="21"/>
        </w:rPr>
        <w:t>信用风险资本准备按照各表内外项目信用风险程度的不同，用资产规模乘以风险系数计算</w:t>
      </w:r>
      <w:r w:rsidR="00B25C80">
        <w:rPr>
          <w:rFonts w:ascii="����" w:hAnsi="����"/>
          <w:color w:val="444444"/>
          <w:sz w:val="21"/>
          <w:szCs w:val="21"/>
        </w:rPr>
        <w:t>;</w:t>
      </w:r>
      <w:r w:rsidR="00B25C80">
        <w:rPr>
          <w:rFonts w:ascii="����" w:hAnsi="����"/>
          <w:color w:val="444444"/>
          <w:sz w:val="21"/>
          <w:szCs w:val="21"/>
        </w:rPr>
        <w:t>操作风险资本准备按照各项业务收入的一定比例计算。</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证券公司可以采取内部模型法等风险计量高级方法计算风险资本准备，具体规定由中国证监会另行制定。</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第十九</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证券公司经营证券自营业务、为客户提供融资或融券服务的，应当符合中国证监会对该项业务的风险控制指标标准。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证券公司可以结合自身实际情况，在不低于中国证监会规定标准的基础上，确定相应的风险控制指标标准。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第二十一</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中国证监会对各项风险控制指标设置预警标准，对于规定</w:t>
      </w:r>
      <w:r w:rsidR="00B25C80">
        <w:rPr>
          <w:rFonts w:ascii="����" w:hAnsi="����"/>
          <w:color w:val="444444"/>
          <w:sz w:val="21"/>
          <w:szCs w:val="21"/>
        </w:rPr>
        <w:t>“</w:t>
      </w:r>
      <w:r w:rsidR="00B25C80">
        <w:rPr>
          <w:rFonts w:ascii="����" w:hAnsi="����"/>
          <w:color w:val="444444"/>
          <w:sz w:val="21"/>
          <w:szCs w:val="21"/>
        </w:rPr>
        <w:t>不得低于</w:t>
      </w:r>
      <w:r w:rsidR="00B25C80">
        <w:rPr>
          <w:rFonts w:ascii="����" w:hAnsi="����"/>
          <w:color w:val="444444"/>
          <w:sz w:val="21"/>
          <w:szCs w:val="21"/>
        </w:rPr>
        <w:t>”</w:t>
      </w:r>
      <w:r w:rsidR="00B25C80">
        <w:rPr>
          <w:rFonts w:ascii="����" w:hAnsi="����"/>
          <w:color w:val="444444"/>
          <w:sz w:val="21"/>
          <w:szCs w:val="21"/>
        </w:rPr>
        <w:t>一定标准的风险控制指标，其预警标准是规定标准的</w:t>
      </w:r>
      <w:r w:rsidR="00B25C80">
        <w:rPr>
          <w:rFonts w:ascii="����" w:hAnsi="����"/>
          <w:color w:val="444444"/>
          <w:sz w:val="21"/>
          <w:szCs w:val="21"/>
        </w:rPr>
        <w:t>120% ;</w:t>
      </w:r>
      <w:r w:rsidR="00B25C80">
        <w:rPr>
          <w:rFonts w:ascii="����" w:hAnsi="����"/>
          <w:color w:val="444444"/>
          <w:sz w:val="21"/>
          <w:szCs w:val="21"/>
        </w:rPr>
        <w:t>对于规定</w:t>
      </w:r>
      <w:r w:rsidR="00B25C80">
        <w:rPr>
          <w:rFonts w:ascii="����" w:hAnsi="����"/>
          <w:color w:val="444444"/>
          <w:sz w:val="21"/>
          <w:szCs w:val="21"/>
        </w:rPr>
        <w:t>“</w:t>
      </w:r>
      <w:r w:rsidR="00B25C80">
        <w:rPr>
          <w:rFonts w:ascii="����" w:hAnsi="����"/>
          <w:color w:val="444444"/>
          <w:sz w:val="21"/>
          <w:szCs w:val="21"/>
        </w:rPr>
        <w:t>不得超过</w:t>
      </w:r>
      <w:r w:rsidR="00B25C80">
        <w:rPr>
          <w:rFonts w:ascii="����" w:hAnsi="����"/>
          <w:color w:val="444444"/>
          <w:sz w:val="21"/>
          <w:szCs w:val="21"/>
        </w:rPr>
        <w:t>”</w:t>
      </w:r>
      <w:r w:rsidR="00B25C80">
        <w:rPr>
          <w:rFonts w:ascii="����" w:hAnsi="����"/>
          <w:color w:val="444444"/>
          <w:sz w:val="21"/>
          <w:szCs w:val="21"/>
        </w:rPr>
        <w:t>一定标准的风险控制指标，其预警标准是规定标准的</w:t>
      </w:r>
      <w:r w:rsidR="00B25C80">
        <w:rPr>
          <w:rFonts w:ascii="����" w:hAnsi="����"/>
          <w:color w:val="444444"/>
          <w:sz w:val="21"/>
          <w:szCs w:val="21"/>
        </w:rPr>
        <w:t xml:space="preserve">80% </w:t>
      </w:r>
      <w:r w:rsidR="00B25C80">
        <w:rPr>
          <w:rFonts w:ascii="����" w:hAnsi="����"/>
          <w:color w:val="444444"/>
          <w:sz w:val="21"/>
          <w:szCs w:val="21"/>
        </w:rPr>
        <w:t>。</w:t>
      </w:r>
    </w:p>
    <w:p w:rsidR="000D6D2B"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p>
    <w:p w:rsidR="00B25C80" w:rsidRDefault="00B25C80" w:rsidP="000D6D2B">
      <w:pPr>
        <w:pStyle w:val="a3"/>
        <w:spacing w:before="0" w:beforeAutospacing="0" w:after="0" w:afterAutospacing="0" w:line="450" w:lineRule="atLeast"/>
        <w:ind w:firstLineChars="200" w:firstLine="422"/>
        <w:rPr>
          <w:rFonts w:ascii="����" w:hAnsi="����" w:hint="eastAsia"/>
          <w:color w:val="444444"/>
          <w:sz w:val="21"/>
          <w:szCs w:val="21"/>
        </w:rPr>
      </w:pPr>
      <w:r>
        <w:rPr>
          <w:rStyle w:val="a4"/>
          <w:rFonts w:ascii="����" w:hAnsi="����"/>
          <w:color w:val="444444"/>
          <w:sz w:val="21"/>
          <w:szCs w:val="21"/>
        </w:rPr>
        <w:t>第四章</w:t>
      </w:r>
      <w:r w:rsidR="00360885">
        <w:rPr>
          <w:rStyle w:val="a4"/>
          <w:rFonts w:ascii="����" w:hAnsi="����" w:hint="eastAsia"/>
          <w:color w:val="444444"/>
          <w:sz w:val="21"/>
          <w:szCs w:val="21"/>
        </w:rPr>
        <w:t xml:space="preserve">  </w:t>
      </w:r>
      <w:r>
        <w:rPr>
          <w:rStyle w:val="a4"/>
          <w:rFonts w:ascii="����" w:hAnsi="����"/>
          <w:color w:val="444444"/>
          <w:sz w:val="21"/>
          <w:szCs w:val="21"/>
        </w:rPr>
        <w:t>编制和披露</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第二十二</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设有子公司的证券公司应当以母公司数据为基础，编制风险控制指标监管报表。</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中国证监会及其派出机构可以根据监管需要，要求证券公司以合并数据为基础编制风险控制指标监管报表。</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第二十三</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证券公司的董事、高级管理人员应当对公司半年度、年度风险控制指标监管报表签署确认意见。</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证券公司经营管理的主要负责人、首席风险官、财务负责人应当对公司月度风险控制指标监管报表签署确认意见。在证券公司风险控制指标监管报表上签字的人员，应当保证风险控制指标监管报表真实、准确、完整，不存在虚假记载、误导性陈述和重大遗漏</w:t>
      </w:r>
      <w:r w:rsidR="00B25C80">
        <w:rPr>
          <w:rFonts w:ascii="����" w:hAnsi="����"/>
          <w:color w:val="444444"/>
          <w:sz w:val="21"/>
          <w:szCs w:val="21"/>
        </w:rPr>
        <w:t>;</w:t>
      </w:r>
      <w:r w:rsidR="00B25C80">
        <w:rPr>
          <w:rFonts w:ascii="����" w:hAnsi="����"/>
          <w:color w:val="444444"/>
          <w:sz w:val="21"/>
          <w:szCs w:val="21"/>
        </w:rPr>
        <w:t>对风险控制指标监管报表内容持有异议的，应当在报表上注明自己的意见和理由。</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第二十四</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证券公司应当至少每半年经主要负责人、首席风险官签署确认后，向公司全体董事报告一次公司净资本等风险控制指标的具体情况和达标情况</w:t>
      </w:r>
      <w:r w:rsidR="00B25C80">
        <w:rPr>
          <w:rFonts w:ascii="����" w:hAnsi="����"/>
          <w:color w:val="444444"/>
          <w:sz w:val="21"/>
          <w:szCs w:val="21"/>
        </w:rPr>
        <w:t>;</w:t>
      </w:r>
      <w:r w:rsidR="00B25C80">
        <w:rPr>
          <w:rFonts w:ascii="����" w:hAnsi="����"/>
          <w:color w:val="444444"/>
          <w:sz w:val="21"/>
          <w:szCs w:val="21"/>
        </w:rPr>
        <w:t>证券公司应当至少每</w:t>
      </w:r>
      <w:r w:rsidR="00B25C80">
        <w:rPr>
          <w:rFonts w:ascii="����" w:hAnsi="����"/>
          <w:color w:val="444444"/>
          <w:sz w:val="21"/>
          <w:szCs w:val="21"/>
        </w:rPr>
        <w:lastRenderedPageBreak/>
        <w:t>半年经董事会签署确认，向公司全体股东报告一次公司净资本等风险控制指标的具体情况和达标情况，并至少获得主要股东的签收确认证明文件。</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净资本指标与上月相比发生</w:t>
      </w:r>
      <w:r w:rsidR="00B25C80">
        <w:rPr>
          <w:rFonts w:ascii="����" w:hAnsi="����"/>
          <w:color w:val="444444"/>
          <w:sz w:val="21"/>
          <w:szCs w:val="21"/>
        </w:rPr>
        <w:t xml:space="preserve">20% </w:t>
      </w:r>
      <w:r w:rsidR="00B25C80">
        <w:rPr>
          <w:rFonts w:ascii="����" w:hAnsi="����"/>
          <w:color w:val="444444"/>
          <w:sz w:val="21"/>
          <w:szCs w:val="21"/>
        </w:rPr>
        <w:t>以上不利变化或不符合规定标准时，证券公司应当在</w:t>
      </w:r>
      <w:r w:rsidR="00B25C80">
        <w:rPr>
          <w:rFonts w:ascii="����" w:hAnsi="����"/>
          <w:color w:val="444444"/>
          <w:sz w:val="21"/>
          <w:szCs w:val="21"/>
        </w:rPr>
        <w:t xml:space="preserve">5 </w:t>
      </w:r>
      <w:r w:rsidR="00B25C80">
        <w:rPr>
          <w:rFonts w:ascii="����" w:hAnsi="����"/>
          <w:color w:val="444444"/>
          <w:sz w:val="21"/>
          <w:szCs w:val="21"/>
        </w:rPr>
        <w:t>个工作日内向公司全体董事报告，</w:t>
      </w:r>
      <w:r w:rsidR="00B25C80">
        <w:rPr>
          <w:rFonts w:ascii="����" w:hAnsi="����"/>
          <w:color w:val="444444"/>
          <w:sz w:val="21"/>
          <w:szCs w:val="21"/>
        </w:rPr>
        <w:t xml:space="preserve">10 </w:t>
      </w:r>
      <w:r w:rsidR="00B25C80">
        <w:rPr>
          <w:rFonts w:ascii="����" w:hAnsi="����"/>
          <w:color w:val="444444"/>
          <w:sz w:val="21"/>
          <w:szCs w:val="21"/>
        </w:rPr>
        <w:t>个工作日内向公司全体股东报告。</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第二十五</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证券公司应当在每月结束之日起</w:t>
      </w:r>
      <w:r w:rsidR="00B25C80">
        <w:rPr>
          <w:rFonts w:ascii="����" w:hAnsi="����"/>
          <w:color w:val="444444"/>
          <w:sz w:val="21"/>
          <w:szCs w:val="21"/>
        </w:rPr>
        <w:t xml:space="preserve">7 </w:t>
      </w:r>
      <w:r w:rsidR="00B25C80">
        <w:rPr>
          <w:rFonts w:ascii="����" w:hAnsi="����"/>
          <w:color w:val="444444"/>
          <w:sz w:val="21"/>
          <w:szCs w:val="21"/>
        </w:rPr>
        <w:t>个工作日内，向中国证监会及其派出机构报送月度风险控制指标监管报表。</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派出机构可以根据监管需要，要求辖区内单个、部分或者全部证券公司在一定阶段内按周或者按日编制并报送各项风险控制指标监管报表。</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第二十六</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证券公司的净资本等风险控制指标与上月相比发生不利变化超过</w:t>
      </w:r>
      <w:r w:rsidR="00B25C80">
        <w:rPr>
          <w:rFonts w:ascii="����" w:hAnsi="����"/>
          <w:color w:val="444444"/>
          <w:sz w:val="21"/>
          <w:szCs w:val="21"/>
        </w:rPr>
        <w:t xml:space="preserve">20% </w:t>
      </w:r>
      <w:r w:rsidR="00B25C80">
        <w:rPr>
          <w:rFonts w:ascii="����" w:hAnsi="����"/>
          <w:color w:val="444444"/>
          <w:sz w:val="21"/>
          <w:szCs w:val="21"/>
        </w:rPr>
        <w:t>的，应当在该情形发生之日起</w:t>
      </w:r>
      <w:r w:rsidR="00B25C80">
        <w:rPr>
          <w:rFonts w:ascii="����" w:hAnsi="����"/>
          <w:color w:val="444444"/>
          <w:sz w:val="21"/>
          <w:szCs w:val="21"/>
        </w:rPr>
        <w:t xml:space="preserve">3 </w:t>
      </w:r>
      <w:r w:rsidR="00B25C80">
        <w:rPr>
          <w:rFonts w:ascii="����" w:hAnsi="����"/>
          <w:color w:val="444444"/>
          <w:sz w:val="21"/>
          <w:szCs w:val="21"/>
        </w:rPr>
        <w:t>个工作日内，向中国证监会及其派出机构报告，说明基本情况和变化原因。</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第二十七</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证券公司的净资本等风险控制指标达到预警标准或者不符合规定标准的，应当分别在该情形发生之日起</w:t>
      </w:r>
      <w:r w:rsidR="00B25C80">
        <w:rPr>
          <w:rFonts w:ascii="����" w:hAnsi="����"/>
          <w:color w:val="444444"/>
          <w:sz w:val="21"/>
          <w:szCs w:val="21"/>
        </w:rPr>
        <w:t xml:space="preserve">3 </w:t>
      </w:r>
      <w:r w:rsidR="00B25C80">
        <w:rPr>
          <w:rFonts w:ascii="����" w:hAnsi="����"/>
          <w:color w:val="444444"/>
          <w:sz w:val="21"/>
          <w:szCs w:val="21"/>
        </w:rPr>
        <w:t>个、</w:t>
      </w:r>
      <w:r w:rsidR="00B25C80">
        <w:rPr>
          <w:rFonts w:ascii="����" w:hAnsi="����"/>
          <w:color w:val="444444"/>
          <w:sz w:val="21"/>
          <w:szCs w:val="21"/>
        </w:rPr>
        <w:t xml:space="preserve">1 </w:t>
      </w:r>
      <w:r w:rsidR="00B25C80">
        <w:rPr>
          <w:rFonts w:ascii="����" w:hAnsi="����"/>
          <w:color w:val="444444"/>
          <w:sz w:val="21"/>
          <w:szCs w:val="21"/>
        </w:rPr>
        <w:t>个工作日内，向中国证监会及其派出机构报告，说明基本情况、问题成因以及解决问题的具体措施和期限。</w:t>
      </w:r>
    </w:p>
    <w:p w:rsidR="000D6D2B" w:rsidRDefault="003C04E5" w:rsidP="00B25C80">
      <w:pPr>
        <w:pStyle w:val="a3"/>
        <w:spacing w:before="0" w:beforeAutospacing="0" w:after="0" w:afterAutospacing="0" w:line="450" w:lineRule="atLeast"/>
        <w:rPr>
          <w:rStyle w:val="a4"/>
          <w:rFonts w:ascii="����" w:hAnsi="����" w:hint="eastAsia"/>
          <w:color w:val="444444"/>
          <w:sz w:val="21"/>
          <w:szCs w:val="21"/>
        </w:rPr>
      </w:pPr>
      <w:r>
        <w:rPr>
          <w:rStyle w:val="a4"/>
          <w:rFonts w:ascii="����" w:hAnsi="����"/>
          <w:color w:val="444444"/>
          <w:sz w:val="21"/>
          <w:szCs w:val="21"/>
        </w:rPr>
        <w:t xml:space="preserve">    </w:t>
      </w:r>
    </w:p>
    <w:p w:rsidR="00B25C80" w:rsidRDefault="00B25C80" w:rsidP="000D6D2B">
      <w:pPr>
        <w:pStyle w:val="a3"/>
        <w:spacing w:before="0" w:beforeAutospacing="0" w:after="0" w:afterAutospacing="0" w:line="450" w:lineRule="atLeast"/>
        <w:ind w:firstLineChars="200" w:firstLine="422"/>
        <w:rPr>
          <w:rFonts w:ascii="����" w:hAnsi="����" w:hint="eastAsia"/>
          <w:color w:val="444444"/>
          <w:sz w:val="21"/>
          <w:szCs w:val="21"/>
        </w:rPr>
      </w:pPr>
      <w:r>
        <w:rPr>
          <w:rStyle w:val="a4"/>
          <w:rFonts w:ascii="����" w:hAnsi="����"/>
          <w:color w:val="444444"/>
          <w:sz w:val="21"/>
          <w:szCs w:val="21"/>
        </w:rPr>
        <w:t>第五章</w:t>
      </w:r>
      <w:r w:rsidR="00360885">
        <w:rPr>
          <w:rStyle w:val="a4"/>
          <w:rFonts w:ascii="����" w:hAnsi="����" w:hint="eastAsia"/>
          <w:color w:val="444444"/>
          <w:sz w:val="21"/>
          <w:szCs w:val="21"/>
        </w:rPr>
        <w:t xml:space="preserve">  </w:t>
      </w:r>
      <w:r>
        <w:rPr>
          <w:rStyle w:val="a4"/>
          <w:rFonts w:ascii="����" w:hAnsi="����"/>
          <w:color w:val="444444"/>
          <w:sz w:val="21"/>
          <w:szCs w:val="21"/>
        </w:rPr>
        <w:t>监督管理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第二十八</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证券公司的财务会计报告、风险控制指标监管报表被注册会计师出具了保留意见、带强调事项段或其他事项段无保留意见的，证券公司应当就涉及事项进行专项说明。</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涉及事项不属于明显违反会计准则、证券公司净资本计算规则等有关规定的，中国证监会及其派出机构可以要求证券公司说明该事项对公司净资本等风险控制指标的影响。</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涉及事项属于明显违反会计准则、证券公司净资本计算规则等有关规定的，中国证监会及其派出机构可以要求证券公司限期纠正、重新编制风险控制指标监管报表</w:t>
      </w:r>
      <w:r w:rsidR="00B25C80">
        <w:rPr>
          <w:rFonts w:ascii="����" w:hAnsi="����"/>
          <w:color w:val="444444"/>
          <w:sz w:val="21"/>
          <w:szCs w:val="21"/>
        </w:rPr>
        <w:t>;</w:t>
      </w:r>
      <w:r w:rsidR="00B25C80">
        <w:rPr>
          <w:rFonts w:ascii="����" w:hAnsi="����"/>
          <w:color w:val="444444"/>
          <w:sz w:val="21"/>
          <w:szCs w:val="21"/>
        </w:rPr>
        <w:t>证券公司未限期纠正的，中国证监会及其派出机构可以认定其净资本等风险控制指标低于规定标准。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第二十九</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证券公司的财务会计报告、风险控制指标监管报表被注册会计师出具了无法表示意见或者否定意见的，中国证监会及其派出机构可以认定其净资本等风险控制指标低于规定标准。</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第三十</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未按照监管部门要求报送风险控制指标监管报表，或者风险控制指标监管报表存在重大错报、漏报以及虚假报送情况，中国证监会及其派出机构可以根据情况采取出具警示函、责令改正、监管谈话、责令处分有关人员等监管措施。</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lastRenderedPageBreak/>
        <w:t xml:space="preserve">    </w:t>
      </w:r>
      <w:r w:rsidR="00B25C80">
        <w:rPr>
          <w:rFonts w:ascii="����" w:hAnsi="����"/>
          <w:color w:val="444444"/>
          <w:sz w:val="21"/>
          <w:szCs w:val="21"/>
        </w:rPr>
        <w:t>第三十一</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证券公司净资本或者其他风险控制指标不符合规定标准的，派出机构应当责令公司限期改正，在</w:t>
      </w:r>
      <w:r w:rsidR="00B25C80">
        <w:rPr>
          <w:rFonts w:ascii="����" w:hAnsi="����"/>
          <w:color w:val="444444"/>
          <w:sz w:val="21"/>
          <w:szCs w:val="21"/>
        </w:rPr>
        <w:t xml:space="preserve">5 </w:t>
      </w:r>
      <w:r w:rsidR="00B25C80">
        <w:rPr>
          <w:rFonts w:ascii="����" w:hAnsi="����"/>
          <w:color w:val="444444"/>
          <w:sz w:val="21"/>
          <w:szCs w:val="21"/>
        </w:rPr>
        <w:t>个工作日制定并报送整改计划，整改期限最长不超过</w:t>
      </w:r>
      <w:r w:rsidR="00B25C80">
        <w:rPr>
          <w:rFonts w:ascii="����" w:hAnsi="����"/>
          <w:color w:val="444444"/>
          <w:sz w:val="21"/>
          <w:szCs w:val="21"/>
        </w:rPr>
        <w:t xml:space="preserve">20 </w:t>
      </w:r>
      <w:r w:rsidR="00B25C80">
        <w:rPr>
          <w:rFonts w:ascii="����" w:hAnsi="����"/>
          <w:color w:val="444444"/>
          <w:sz w:val="21"/>
          <w:szCs w:val="21"/>
        </w:rPr>
        <w:t>个工作日</w:t>
      </w:r>
      <w:r w:rsidR="00B25C80">
        <w:rPr>
          <w:rFonts w:ascii="����" w:hAnsi="����"/>
          <w:color w:val="444444"/>
          <w:sz w:val="21"/>
          <w:szCs w:val="21"/>
        </w:rPr>
        <w:t>;</w:t>
      </w:r>
      <w:r w:rsidR="00B25C80">
        <w:rPr>
          <w:rFonts w:ascii="����" w:hAnsi="����"/>
          <w:color w:val="444444"/>
          <w:sz w:val="21"/>
          <w:szCs w:val="21"/>
        </w:rPr>
        <w:t>证券公司未按时报送整改计划的，派出机构应当立即限制其业务活动。</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整改期内，中国证监会及其派出机构应当区别情形，对证券公司采取下列措施：</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一</w:t>
      </w:r>
      <w:r w:rsidR="00B25C80">
        <w:rPr>
          <w:rFonts w:ascii="����" w:hAnsi="����"/>
          <w:color w:val="444444"/>
          <w:sz w:val="21"/>
          <w:szCs w:val="21"/>
        </w:rPr>
        <w:t>)</w:t>
      </w:r>
      <w:r w:rsidR="00B25C80">
        <w:rPr>
          <w:rFonts w:ascii="����" w:hAnsi="����"/>
          <w:color w:val="444444"/>
          <w:sz w:val="21"/>
          <w:szCs w:val="21"/>
        </w:rPr>
        <w:t>停止批准新业务</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二</w:t>
      </w:r>
      <w:r w:rsidR="00B25C80">
        <w:rPr>
          <w:rFonts w:ascii="����" w:hAnsi="����"/>
          <w:color w:val="444444"/>
          <w:sz w:val="21"/>
          <w:szCs w:val="21"/>
        </w:rPr>
        <w:t>)</w:t>
      </w:r>
      <w:r w:rsidR="00B25C80">
        <w:rPr>
          <w:rFonts w:ascii="����" w:hAnsi="����"/>
          <w:color w:val="444444"/>
          <w:sz w:val="21"/>
          <w:szCs w:val="21"/>
        </w:rPr>
        <w:t>停止批准增设、收购营业性分支机构</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三</w:t>
      </w:r>
      <w:r w:rsidR="00B25C80">
        <w:rPr>
          <w:rFonts w:ascii="����" w:hAnsi="����"/>
          <w:color w:val="444444"/>
          <w:sz w:val="21"/>
          <w:szCs w:val="21"/>
        </w:rPr>
        <w:t>)</w:t>
      </w:r>
      <w:r w:rsidR="00B25C80">
        <w:rPr>
          <w:rFonts w:ascii="����" w:hAnsi="����"/>
          <w:color w:val="444444"/>
          <w:sz w:val="21"/>
          <w:szCs w:val="21"/>
        </w:rPr>
        <w:t>限制分配红利</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四</w:t>
      </w:r>
      <w:r w:rsidR="00B25C80">
        <w:rPr>
          <w:rFonts w:ascii="����" w:hAnsi="����"/>
          <w:color w:val="444444"/>
          <w:sz w:val="21"/>
          <w:szCs w:val="21"/>
        </w:rPr>
        <w:t>)</w:t>
      </w:r>
      <w:r w:rsidR="00B25C80">
        <w:rPr>
          <w:rFonts w:ascii="����" w:hAnsi="����"/>
          <w:color w:val="444444"/>
          <w:sz w:val="21"/>
          <w:szCs w:val="21"/>
        </w:rPr>
        <w:t>限制转让财产或在财产上设定其他权利。</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第三十二</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证券公司整改后，经派出机构验收符合有关风险控制指标的，中国证监会及其派出机构应当自验收完毕之日起</w:t>
      </w:r>
      <w:r w:rsidR="00B25C80">
        <w:rPr>
          <w:rFonts w:ascii="����" w:hAnsi="����"/>
          <w:color w:val="444444"/>
          <w:sz w:val="21"/>
          <w:szCs w:val="21"/>
        </w:rPr>
        <w:t xml:space="preserve">3 </w:t>
      </w:r>
      <w:r w:rsidR="00B25C80">
        <w:rPr>
          <w:rFonts w:ascii="����" w:hAnsi="����"/>
          <w:color w:val="444444"/>
          <w:sz w:val="21"/>
          <w:szCs w:val="21"/>
        </w:rPr>
        <w:t>个工作日内解除对其采取的有关措施。</w:t>
      </w:r>
    </w:p>
    <w:p w:rsidR="00B25C80" w:rsidRDefault="003C04E5" w:rsidP="001B76B2">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第三十三</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证券公司未按期完成整改的，自整改期限到期的次日起，派出机构应当区别情形，对其采取下列措施：</w:t>
      </w:r>
      <w:r w:rsidR="00B25C80">
        <w:rPr>
          <w:rFonts w:ascii="����" w:hAnsi="����"/>
          <w:color w:val="444444"/>
          <w:sz w:val="21"/>
          <w:szCs w:val="21"/>
        </w:rPr>
        <w:t>(</w:t>
      </w:r>
      <w:r w:rsidR="00B25C80">
        <w:rPr>
          <w:rFonts w:ascii="����" w:hAnsi="����"/>
          <w:color w:val="444444"/>
          <w:sz w:val="21"/>
          <w:szCs w:val="21"/>
        </w:rPr>
        <w:t>一</w:t>
      </w:r>
      <w:r w:rsidR="00B25C80">
        <w:rPr>
          <w:rFonts w:ascii="����" w:hAnsi="����"/>
          <w:color w:val="444444"/>
          <w:sz w:val="21"/>
          <w:szCs w:val="21"/>
        </w:rPr>
        <w:t>)</w:t>
      </w:r>
      <w:r w:rsidR="00B25C80">
        <w:rPr>
          <w:rFonts w:ascii="����" w:hAnsi="����"/>
          <w:color w:val="444444"/>
          <w:sz w:val="21"/>
          <w:szCs w:val="21"/>
        </w:rPr>
        <w:t>限制业务活动</w:t>
      </w:r>
      <w:r w:rsidR="00B25C80">
        <w:rPr>
          <w:rFonts w:ascii="����" w:hAnsi="����"/>
          <w:color w:val="444444"/>
          <w:sz w:val="21"/>
          <w:szCs w:val="21"/>
        </w:rPr>
        <w:t>;(</w:t>
      </w:r>
      <w:r w:rsidR="00B25C80">
        <w:rPr>
          <w:rFonts w:ascii="����" w:hAnsi="����"/>
          <w:color w:val="444444"/>
          <w:sz w:val="21"/>
          <w:szCs w:val="21"/>
        </w:rPr>
        <w:t>二</w:t>
      </w:r>
      <w:r w:rsidR="00B25C80">
        <w:rPr>
          <w:rFonts w:ascii="����" w:hAnsi="����"/>
          <w:color w:val="444444"/>
          <w:sz w:val="21"/>
          <w:szCs w:val="21"/>
        </w:rPr>
        <w:t>)</w:t>
      </w:r>
      <w:r w:rsidR="00B25C80">
        <w:rPr>
          <w:rFonts w:ascii="����" w:hAnsi="����"/>
          <w:color w:val="444444"/>
          <w:sz w:val="21"/>
          <w:szCs w:val="21"/>
        </w:rPr>
        <w:t>责令暂停部分业务</w:t>
      </w:r>
      <w:r w:rsidR="00B25C80">
        <w:rPr>
          <w:rFonts w:ascii="����" w:hAnsi="����"/>
          <w:color w:val="444444"/>
          <w:sz w:val="21"/>
          <w:szCs w:val="21"/>
        </w:rPr>
        <w:t>;(</w:t>
      </w:r>
      <w:r w:rsidR="00B25C80">
        <w:rPr>
          <w:rFonts w:ascii="����" w:hAnsi="����"/>
          <w:color w:val="444444"/>
          <w:sz w:val="21"/>
          <w:szCs w:val="21"/>
        </w:rPr>
        <w:t>三</w:t>
      </w:r>
      <w:r w:rsidR="00B25C80">
        <w:rPr>
          <w:rFonts w:ascii="����" w:hAnsi="����"/>
          <w:color w:val="444444"/>
          <w:sz w:val="21"/>
          <w:szCs w:val="21"/>
        </w:rPr>
        <w:t>)</w:t>
      </w:r>
      <w:r w:rsidR="00B25C80">
        <w:rPr>
          <w:rFonts w:ascii="����" w:hAnsi="����"/>
          <w:color w:val="444444"/>
          <w:sz w:val="21"/>
          <w:szCs w:val="21"/>
        </w:rPr>
        <w:t>限制向董事、监事、高级管理人员支付报酬、提供福利</w:t>
      </w:r>
      <w:r w:rsidR="00B25C80">
        <w:rPr>
          <w:rFonts w:ascii="����" w:hAnsi="����"/>
          <w:color w:val="444444"/>
          <w:sz w:val="21"/>
          <w:szCs w:val="21"/>
        </w:rPr>
        <w:t>;(</w:t>
      </w:r>
      <w:r w:rsidR="00B25C80">
        <w:rPr>
          <w:rFonts w:ascii="����" w:hAnsi="����"/>
          <w:color w:val="444444"/>
          <w:sz w:val="21"/>
          <w:szCs w:val="21"/>
        </w:rPr>
        <w:t>四</w:t>
      </w:r>
      <w:r w:rsidR="00B25C80">
        <w:rPr>
          <w:rFonts w:ascii="����" w:hAnsi="����"/>
          <w:color w:val="444444"/>
          <w:sz w:val="21"/>
          <w:szCs w:val="21"/>
        </w:rPr>
        <w:t>)</w:t>
      </w:r>
      <w:r w:rsidR="00B25C80">
        <w:rPr>
          <w:rFonts w:ascii="����" w:hAnsi="����"/>
          <w:color w:val="444444"/>
          <w:sz w:val="21"/>
          <w:szCs w:val="21"/>
        </w:rPr>
        <w:t>责令更换董事、监事、高级管理人员或者限制其权利</w:t>
      </w:r>
      <w:r w:rsidR="00B25C80">
        <w:rPr>
          <w:rFonts w:ascii="����" w:hAnsi="����"/>
          <w:color w:val="444444"/>
          <w:sz w:val="21"/>
          <w:szCs w:val="21"/>
        </w:rPr>
        <w:t>;(</w:t>
      </w:r>
      <w:r w:rsidR="00B25C80">
        <w:rPr>
          <w:rFonts w:ascii="����" w:hAnsi="����"/>
          <w:color w:val="444444"/>
          <w:sz w:val="21"/>
          <w:szCs w:val="21"/>
        </w:rPr>
        <w:t>五</w:t>
      </w:r>
      <w:r w:rsidR="00B25C80">
        <w:rPr>
          <w:rFonts w:ascii="����" w:hAnsi="����"/>
          <w:color w:val="444444"/>
          <w:sz w:val="21"/>
          <w:szCs w:val="21"/>
        </w:rPr>
        <w:t>)</w:t>
      </w:r>
      <w:r w:rsidR="00B25C80">
        <w:rPr>
          <w:rFonts w:ascii="����" w:hAnsi="����"/>
          <w:color w:val="444444"/>
          <w:sz w:val="21"/>
          <w:szCs w:val="21"/>
        </w:rPr>
        <w:t>责令控股股东转让股权或者限制有关股东行使股东权利</w:t>
      </w:r>
      <w:r w:rsidR="00B25C80">
        <w:rPr>
          <w:rFonts w:ascii="����" w:hAnsi="����"/>
          <w:color w:val="444444"/>
          <w:sz w:val="21"/>
          <w:szCs w:val="21"/>
        </w:rPr>
        <w:t>;(</w:t>
      </w:r>
      <w:r w:rsidR="00B25C80">
        <w:rPr>
          <w:rFonts w:ascii="����" w:hAnsi="����"/>
          <w:color w:val="444444"/>
          <w:sz w:val="21"/>
          <w:szCs w:val="21"/>
        </w:rPr>
        <w:t>六</w:t>
      </w:r>
      <w:r w:rsidR="00B25C80">
        <w:rPr>
          <w:rFonts w:ascii="����" w:hAnsi="����"/>
          <w:color w:val="444444"/>
          <w:sz w:val="21"/>
          <w:szCs w:val="21"/>
        </w:rPr>
        <w:t>)</w:t>
      </w:r>
      <w:r w:rsidR="00B25C80">
        <w:rPr>
          <w:rFonts w:ascii="����" w:hAnsi="����"/>
          <w:color w:val="444444"/>
          <w:sz w:val="21"/>
          <w:szCs w:val="21"/>
        </w:rPr>
        <w:t>认定董事、监事、高级管理人员为不适当人选</w:t>
      </w:r>
      <w:r w:rsidR="00B25C80">
        <w:rPr>
          <w:rFonts w:ascii="����" w:hAnsi="����"/>
          <w:color w:val="444444"/>
          <w:sz w:val="21"/>
          <w:szCs w:val="21"/>
        </w:rPr>
        <w:t>;(</w:t>
      </w:r>
      <w:r w:rsidR="00B25C80">
        <w:rPr>
          <w:rFonts w:ascii="����" w:hAnsi="����"/>
          <w:color w:val="444444"/>
          <w:sz w:val="21"/>
          <w:szCs w:val="21"/>
        </w:rPr>
        <w:t>七</w:t>
      </w:r>
      <w:r w:rsidR="00B25C80">
        <w:rPr>
          <w:rFonts w:ascii="����" w:hAnsi="����"/>
          <w:color w:val="444444"/>
          <w:sz w:val="21"/>
          <w:szCs w:val="21"/>
        </w:rPr>
        <w:t>)</w:t>
      </w:r>
      <w:r w:rsidR="00B25C80">
        <w:rPr>
          <w:rFonts w:ascii="����" w:hAnsi="����"/>
          <w:color w:val="444444"/>
          <w:sz w:val="21"/>
          <w:szCs w:val="21"/>
        </w:rPr>
        <w:t>中国证监会及其派出机构认为有必要采取的其他措施。第三十四</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证券公司未按期完成整改、风险控制指标情况继续恶化，严重危及该证券公司的稳健运行的，中国证监会可以撤销其有关业务许可。</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第三十五</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证券公司风险控制指标无法达标，严重危害证券市场秩序、损害投资者利益的，中国证监会可以区别情形，对其采取下列措施：</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一</w:t>
      </w:r>
      <w:r w:rsidR="00B25C80">
        <w:rPr>
          <w:rFonts w:ascii="����" w:hAnsi="����"/>
          <w:color w:val="444444"/>
          <w:sz w:val="21"/>
          <w:szCs w:val="21"/>
        </w:rPr>
        <w:t>)</w:t>
      </w:r>
      <w:r w:rsidR="00B25C80">
        <w:rPr>
          <w:rFonts w:ascii="����" w:hAnsi="����"/>
          <w:color w:val="444444"/>
          <w:sz w:val="21"/>
          <w:szCs w:val="21"/>
        </w:rPr>
        <w:t>责令停业整顿</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二</w:t>
      </w:r>
      <w:r w:rsidR="00B25C80">
        <w:rPr>
          <w:rFonts w:ascii="����" w:hAnsi="����"/>
          <w:color w:val="444444"/>
          <w:sz w:val="21"/>
          <w:szCs w:val="21"/>
        </w:rPr>
        <w:t>)</w:t>
      </w:r>
      <w:r w:rsidR="00B25C80">
        <w:rPr>
          <w:rFonts w:ascii="����" w:hAnsi="����"/>
          <w:color w:val="444444"/>
          <w:sz w:val="21"/>
          <w:szCs w:val="21"/>
        </w:rPr>
        <w:t>指定其他机构托管、接管</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三</w:t>
      </w:r>
      <w:r w:rsidR="00B25C80">
        <w:rPr>
          <w:rFonts w:ascii="����" w:hAnsi="����"/>
          <w:color w:val="444444"/>
          <w:sz w:val="21"/>
          <w:szCs w:val="21"/>
        </w:rPr>
        <w:t>)</w:t>
      </w:r>
      <w:r w:rsidR="00B25C80">
        <w:rPr>
          <w:rFonts w:ascii="����" w:hAnsi="����"/>
          <w:color w:val="444444"/>
          <w:sz w:val="21"/>
          <w:szCs w:val="21"/>
        </w:rPr>
        <w:t>撤销经营证券业务许可</w:t>
      </w:r>
      <w:r w:rsidR="00B25C80">
        <w:rPr>
          <w:rFonts w:ascii="����" w:hAnsi="����"/>
          <w:color w:val="444444"/>
          <w:sz w:val="21"/>
          <w:szCs w:val="21"/>
        </w:rPr>
        <w:t>;</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四</w:t>
      </w:r>
      <w:r w:rsidR="00B25C80">
        <w:rPr>
          <w:rFonts w:ascii="����" w:hAnsi="����"/>
          <w:color w:val="444444"/>
          <w:sz w:val="21"/>
          <w:szCs w:val="21"/>
        </w:rPr>
        <w:t>)</w:t>
      </w:r>
      <w:r w:rsidR="00B25C80">
        <w:rPr>
          <w:rFonts w:ascii="����" w:hAnsi="����"/>
          <w:color w:val="444444"/>
          <w:sz w:val="21"/>
          <w:szCs w:val="21"/>
        </w:rPr>
        <w:t>撤销。</w:t>
      </w:r>
    </w:p>
    <w:p w:rsidR="000D6D2B"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p>
    <w:p w:rsidR="00B25C80" w:rsidRDefault="00B25C80" w:rsidP="000D6D2B">
      <w:pPr>
        <w:pStyle w:val="a3"/>
        <w:spacing w:before="0" w:beforeAutospacing="0" w:after="0" w:afterAutospacing="0" w:line="450" w:lineRule="atLeast"/>
        <w:ind w:firstLineChars="200" w:firstLine="422"/>
        <w:rPr>
          <w:rFonts w:ascii="����" w:hAnsi="����" w:hint="eastAsia"/>
          <w:color w:val="444444"/>
          <w:sz w:val="21"/>
          <w:szCs w:val="21"/>
        </w:rPr>
      </w:pPr>
      <w:r>
        <w:rPr>
          <w:rStyle w:val="a4"/>
          <w:rFonts w:ascii="����" w:hAnsi="����"/>
          <w:color w:val="444444"/>
          <w:sz w:val="21"/>
          <w:szCs w:val="21"/>
        </w:rPr>
        <w:t>第六章</w:t>
      </w:r>
      <w:r w:rsidR="00360885">
        <w:rPr>
          <w:rStyle w:val="a4"/>
          <w:rFonts w:ascii="����" w:hAnsi="����" w:hint="eastAsia"/>
          <w:color w:val="444444"/>
          <w:sz w:val="21"/>
          <w:szCs w:val="21"/>
        </w:rPr>
        <w:t xml:space="preserve">  </w:t>
      </w:r>
      <w:r>
        <w:rPr>
          <w:rStyle w:val="a4"/>
          <w:rFonts w:ascii="����" w:hAnsi="����"/>
          <w:color w:val="444444"/>
          <w:sz w:val="21"/>
          <w:szCs w:val="21"/>
        </w:rPr>
        <w:t>附则</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第三十六</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本办法下列用语的含义：</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一</w:t>
      </w:r>
      <w:r w:rsidR="00B25C80">
        <w:rPr>
          <w:rFonts w:ascii="����" w:hAnsi="����"/>
          <w:color w:val="444444"/>
          <w:sz w:val="21"/>
          <w:szCs w:val="21"/>
        </w:rPr>
        <w:t>)</w:t>
      </w:r>
      <w:r w:rsidR="00B25C80">
        <w:rPr>
          <w:rFonts w:ascii="����" w:hAnsi="����"/>
          <w:color w:val="444444"/>
          <w:sz w:val="21"/>
          <w:szCs w:val="21"/>
        </w:rPr>
        <w:t>风险资本准备：指证券公司在开展各项业务等过程中，因市场风险、信用风险、操作风险等可能引起的非预期损失所需要的资本。证券公司应当按照一定标准计算风险资本准备并与净资本建立对应关系，确保风险资本准备有对应的净资本支撑。</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二</w:t>
      </w:r>
      <w:r w:rsidR="00B25C80">
        <w:rPr>
          <w:rFonts w:ascii="����" w:hAnsi="����"/>
          <w:color w:val="444444"/>
          <w:sz w:val="21"/>
          <w:szCs w:val="21"/>
        </w:rPr>
        <w:t>)</w:t>
      </w:r>
      <w:r w:rsidR="00B25C80">
        <w:rPr>
          <w:rFonts w:ascii="����" w:hAnsi="����"/>
          <w:color w:val="444444"/>
          <w:sz w:val="21"/>
          <w:szCs w:val="21"/>
        </w:rPr>
        <w:t>负债：指对外负债，不含代理买卖证券款、信用交易代理买卖证券款、代理承销证券款。</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lastRenderedPageBreak/>
        <w:t xml:space="preserve">    </w:t>
      </w:r>
      <w:r w:rsidR="00B25C80">
        <w:rPr>
          <w:rFonts w:ascii="����" w:hAnsi="����"/>
          <w:color w:val="444444"/>
          <w:sz w:val="21"/>
          <w:szCs w:val="21"/>
        </w:rPr>
        <w:t>(</w:t>
      </w:r>
      <w:r w:rsidR="00B25C80">
        <w:rPr>
          <w:rFonts w:ascii="����" w:hAnsi="����"/>
          <w:color w:val="444444"/>
          <w:sz w:val="21"/>
          <w:szCs w:val="21"/>
        </w:rPr>
        <w:t>三</w:t>
      </w:r>
      <w:r w:rsidR="00B25C80">
        <w:rPr>
          <w:rFonts w:ascii="����" w:hAnsi="����"/>
          <w:color w:val="444444"/>
          <w:sz w:val="21"/>
          <w:szCs w:val="21"/>
        </w:rPr>
        <w:t>)</w:t>
      </w:r>
      <w:r w:rsidR="00B25C80">
        <w:rPr>
          <w:rFonts w:ascii="����" w:hAnsi="����"/>
          <w:color w:val="444444"/>
          <w:sz w:val="21"/>
          <w:szCs w:val="21"/>
        </w:rPr>
        <w:t>资产：指自有资产，不含客户资产。</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四</w:t>
      </w:r>
      <w:r w:rsidR="00B25C80">
        <w:rPr>
          <w:rFonts w:ascii="����" w:hAnsi="����"/>
          <w:color w:val="444444"/>
          <w:sz w:val="21"/>
          <w:szCs w:val="21"/>
        </w:rPr>
        <w:t>)</w:t>
      </w:r>
      <w:r w:rsidR="00B25C80">
        <w:rPr>
          <w:rFonts w:ascii="����" w:hAnsi="����"/>
          <w:color w:val="444444"/>
          <w:sz w:val="21"/>
          <w:szCs w:val="21"/>
        </w:rPr>
        <w:t>或有负债：指过去的交易或者事项形成的潜在义务，其存在须通过未来不确定事项的发生或者不发生予以证实</w:t>
      </w:r>
      <w:r w:rsidR="00B25C80">
        <w:rPr>
          <w:rFonts w:ascii="����" w:hAnsi="����"/>
          <w:color w:val="444444"/>
          <w:sz w:val="21"/>
          <w:szCs w:val="21"/>
        </w:rPr>
        <w:t>;</w:t>
      </w:r>
      <w:r w:rsidR="00B25C80">
        <w:rPr>
          <w:rFonts w:ascii="����" w:hAnsi="����"/>
          <w:color w:val="444444"/>
          <w:sz w:val="21"/>
          <w:szCs w:val="21"/>
        </w:rPr>
        <w:t>或过去的交易或者事项形成的现时义务，履行该义务不是很可能导致经济利益流出企业或该义务的金额不能可靠计量。</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w:t>
      </w:r>
      <w:r w:rsidR="00B25C80">
        <w:rPr>
          <w:rFonts w:ascii="����" w:hAnsi="����"/>
          <w:color w:val="444444"/>
          <w:sz w:val="21"/>
          <w:szCs w:val="21"/>
        </w:rPr>
        <w:t>五</w:t>
      </w:r>
      <w:r w:rsidR="00B25C80">
        <w:rPr>
          <w:rFonts w:ascii="����" w:hAnsi="����"/>
          <w:color w:val="444444"/>
          <w:sz w:val="21"/>
          <w:szCs w:val="21"/>
        </w:rPr>
        <w:t>)</w:t>
      </w:r>
      <w:r w:rsidR="00B25C80">
        <w:rPr>
          <w:rFonts w:ascii="����" w:hAnsi="����"/>
          <w:color w:val="444444"/>
          <w:sz w:val="21"/>
          <w:szCs w:val="21"/>
        </w:rPr>
        <w:t>表内外资产总额：表内资产余额与表外项目余额之和。</w:t>
      </w:r>
    </w:p>
    <w:p w:rsidR="00B25C80" w:rsidRDefault="003C04E5" w:rsidP="00B25C80">
      <w:pPr>
        <w:pStyle w:val="a3"/>
        <w:spacing w:before="0" w:beforeAutospacing="0" w:after="0" w:afterAutospacing="0" w:line="450" w:lineRule="atLeast"/>
        <w:rPr>
          <w:rFonts w:ascii="����" w:hAnsi="����" w:hint="eastAsia"/>
          <w:color w:val="444444"/>
          <w:sz w:val="21"/>
          <w:szCs w:val="21"/>
        </w:rPr>
      </w:pPr>
      <w:r>
        <w:rPr>
          <w:rFonts w:ascii="����" w:hAnsi="����"/>
          <w:color w:val="444444"/>
          <w:sz w:val="21"/>
          <w:szCs w:val="21"/>
        </w:rPr>
        <w:t xml:space="preserve">    </w:t>
      </w:r>
      <w:r w:rsidR="00B25C80">
        <w:rPr>
          <w:rFonts w:ascii="����" w:hAnsi="����"/>
          <w:color w:val="444444"/>
          <w:sz w:val="21"/>
          <w:szCs w:val="21"/>
        </w:rPr>
        <w:t>第三十七</w:t>
      </w:r>
      <w:r>
        <w:rPr>
          <w:rFonts w:ascii="����" w:hAnsi="����"/>
          <w:color w:val="444444"/>
          <w:sz w:val="21"/>
          <w:szCs w:val="21"/>
        </w:rPr>
        <w:t>条</w:t>
      </w:r>
      <w:r>
        <w:rPr>
          <w:rFonts w:ascii="����" w:hAnsi="����"/>
          <w:color w:val="444444"/>
          <w:sz w:val="21"/>
          <w:szCs w:val="21"/>
        </w:rPr>
        <w:t xml:space="preserve">  </w:t>
      </w:r>
      <w:r w:rsidR="00B25C80">
        <w:rPr>
          <w:rFonts w:ascii="����" w:hAnsi="����"/>
          <w:color w:val="444444"/>
          <w:sz w:val="21"/>
          <w:szCs w:val="21"/>
        </w:rPr>
        <w:t>本办法自</w:t>
      </w:r>
      <w:r w:rsidR="00B25C80">
        <w:rPr>
          <w:rFonts w:ascii="����" w:hAnsi="����"/>
          <w:color w:val="444444"/>
          <w:sz w:val="21"/>
          <w:szCs w:val="21"/>
        </w:rPr>
        <w:t xml:space="preserve">2006 </w:t>
      </w:r>
      <w:r w:rsidR="00B25C80">
        <w:rPr>
          <w:rFonts w:ascii="����" w:hAnsi="����"/>
          <w:color w:val="444444"/>
          <w:sz w:val="21"/>
          <w:szCs w:val="21"/>
        </w:rPr>
        <w:t>年</w:t>
      </w:r>
      <w:r w:rsidR="00B25C80">
        <w:rPr>
          <w:rFonts w:ascii="����" w:hAnsi="����"/>
          <w:color w:val="444444"/>
          <w:sz w:val="21"/>
          <w:szCs w:val="21"/>
        </w:rPr>
        <w:t xml:space="preserve">11 </w:t>
      </w:r>
      <w:r w:rsidR="00B25C80">
        <w:rPr>
          <w:rFonts w:ascii="����" w:hAnsi="����"/>
          <w:color w:val="444444"/>
          <w:sz w:val="21"/>
          <w:szCs w:val="21"/>
        </w:rPr>
        <w:t>月</w:t>
      </w:r>
      <w:r w:rsidR="00B25C80">
        <w:rPr>
          <w:rFonts w:ascii="����" w:hAnsi="����"/>
          <w:color w:val="444444"/>
          <w:sz w:val="21"/>
          <w:szCs w:val="21"/>
        </w:rPr>
        <w:t xml:space="preserve">1 </w:t>
      </w:r>
      <w:r w:rsidR="00B25C80">
        <w:rPr>
          <w:rFonts w:ascii="����" w:hAnsi="����"/>
          <w:color w:val="444444"/>
          <w:sz w:val="21"/>
          <w:szCs w:val="21"/>
        </w:rPr>
        <w:t>日起施行。</w:t>
      </w:r>
    </w:p>
    <w:p w:rsidR="00B25C80" w:rsidRPr="00B25C80" w:rsidRDefault="00B25C80" w:rsidP="00B25C80">
      <w:pPr>
        <w:pStyle w:val="a3"/>
        <w:spacing w:before="0" w:beforeAutospacing="0" w:after="0" w:afterAutospacing="0" w:line="450" w:lineRule="atLeast"/>
        <w:ind w:firstLine="420"/>
        <w:rPr>
          <w:rFonts w:ascii="����" w:hAnsi="����" w:hint="eastAsia"/>
          <w:color w:val="444444"/>
          <w:sz w:val="21"/>
          <w:szCs w:val="21"/>
        </w:rPr>
      </w:pPr>
    </w:p>
    <w:p w:rsidR="00D70290" w:rsidRDefault="00D70290"/>
    <w:sectPr w:rsidR="00D7029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7D"/>
    <w:rsid w:val="00005D4B"/>
    <w:rsid w:val="00024E19"/>
    <w:rsid w:val="00031C24"/>
    <w:rsid w:val="000451C8"/>
    <w:rsid w:val="00050C49"/>
    <w:rsid w:val="00054C75"/>
    <w:rsid w:val="00075472"/>
    <w:rsid w:val="00084A5C"/>
    <w:rsid w:val="000C207C"/>
    <w:rsid w:val="000C5753"/>
    <w:rsid w:val="000C5D64"/>
    <w:rsid w:val="000D02B3"/>
    <w:rsid w:val="000D6D2B"/>
    <w:rsid w:val="000E1091"/>
    <w:rsid w:val="0010165E"/>
    <w:rsid w:val="00107E86"/>
    <w:rsid w:val="00110D67"/>
    <w:rsid w:val="00114B9C"/>
    <w:rsid w:val="0012340A"/>
    <w:rsid w:val="00131501"/>
    <w:rsid w:val="00131885"/>
    <w:rsid w:val="00134984"/>
    <w:rsid w:val="00137969"/>
    <w:rsid w:val="00141186"/>
    <w:rsid w:val="001419E0"/>
    <w:rsid w:val="0015458D"/>
    <w:rsid w:val="001546E7"/>
    <w:rsid w:val="00161209"/>
    <w:rsid w:val="001621E7"/>
    <w:rsid w:val="00171B81"/>
    <w:rsid w:val="00175A93"/>
    <w:rsid w:val="00180E6D"/>
    <w:rsid w:val="00195A1F"/>
    <w:rsid w:val="001A19A4"/>
    <w:rsid w:val="001A268D"/>
    <w:rsid w:val="001A43EA"/>
    <w:rsid w:val="001B056B"/>
    <w:rsid w:val="001B76B2"/>
    <w:rsid w:val="001E4C01"/>
    <w:rsid w:val="001F20D0"/>
    <w:rsid w:val="001F5323"/>
    <w:rsid w:val="00204060"/>
    <w:rsid w:val="00204522"/>
    <w:rsid w:val="00205C0C"/>
    <w:rsid w:val="00225F2D"/>
    <w:rsid w:val="002335F4"/>
    <w:rsid w:val="002406D0"/>
    <w:rsid w:val="00262FA4"/>
    <w:rsid w:val="0027227D"/>
    <w:rsid w:val="00287F25"/>
    <w:rsid w:val="002D598F"/>
    <w:rsid w:val="002F4F20"/>
    <w:rsid w:val="002F5193"/>
    <w:rsid w:val="0030437D"/>
    <w:rsid w:val="003050B4"/>
    <w:rsid w:val="003144BE"/>
    <w:rsid w:val="00315A5B"/>
    <w:rsid w:val="00335630"/>
    <w:rsid w:val="003434DE"/>
    <w:rsid w:val="00346F27"/>
    <w:rsid w:val="003514C0"/>
    <w:rsid w:val="0035282B"/>
    <w:rsid w:val="00355EC4"/>
    <w:rsid w:val="00360885"/>
    <w:rsid w:val="00364981"/>
    <w:rsid w:val="00377226"/>
    <w:rsid w:val="00385D6C"/>
    <w:rsid w:val="003A2262"/>
    <w:rsid w:val="003B1852"/>
    <w:rsid w:val="003B6918"/>
    <w:rsid w:val="003C04E5"/>
    <w:rsid w:val="003C62FD"/>
    <w:rsid w:val="003D065C"/>
    <w:rsid w:val="003F6A2E"/>
    <w:rsid w:val="004027C6"/>
    <w:rsid w:val="0041162A"/>
    <w:rsid w:val="00411C08"/>
    <w:rsid w:val="00420524"/>
    <w:rsid w:val="004258DA"/>
    <w:rsid w:val="0043599E"/>
    <w:rsid w:val="004362BD"/>
    <w:rsid w:val="00437A28"/>
    <w:rsid w:val="004414E7"/>
    <w:rsid w:val="00444095"/>
    <w:rsid w:val="004507FF"/>
    <w:rsid w:val="004531FD"/>
    <w:rsid w:val="00454389"/>
    <w:rsid w:val="0046379A"/>
    <w:rsid w:val="004673E6"/>
    <w:rsid w:val="00471FFC"/>
    <w:rsid w:val="0047400A"/>
    <w:rsid w:val="00476BAB"/>
    <w:rsid w:val="00480517"/>
    <w:rsid w:val="004A42B4"/>
    <w:rsid w:val="004A4367"/>
    <w:rsid w:val="004C5DDA"/>
    <w:rsid w:val="004D2A6C"/>
    <w:rsid w:val="004D535D"/>
    <w:rsid w:val="004D7D1F"/>
    <w:rsid w:val="004E00B9"/>
    <w:rsid w:val="004E03E1"/>
    <w:rsid w:val="004F2D60"/>
    <w:rsid w:val="005046B5"/>
    <w:rsid w:val="0051102D"/>
    <w:rsid w:val="005137BF"/>
    <w:rsid w:val="00513B39"/>
    <w:rsid w:val="00516742"/>
    <w:rsid w:val="005258A8"/>
    <w:rsid w:val="00532866"/>
    <w:rsid w:val="005414FF"/>
    <w:rsid w:val="00542042"/>
    <w:rsid w:val="005441E3"/>
    <w:rsid w:val="00560238"/>
    <w:rsid w:val="00571BFD"/>
    <w:rsid w:val="00576F2B"/>
    <w:rsid w:val="0059246E"/>
    <w:rsid w:val="00596901"/>
    <w:rsid w:val="005A0F77"/>
    <w:rsid w:val="005A22A7"/>
    <w:rsid w:val="005A75DD"/>
    <w:rsid w:val="005C3660"/>
    <w:rsid w:val="005C73C4"/>
    <w:rsid w:val="005C7751"/>
    <w:rsid w:val="005D2C08"/>
    <w:rsid w:val="005E17BE"/>
    <w:rsid w:val="005F1E40"/>
    <w:rsid w:val="005F5588"/>
    <w:rsid w:val="00601FB7"/>
    <w:rsid w:val="00622176"/>
    <w:rsid w:val="00650A26"/>
    <w:rsid w:val="00670E44"/>
    <w:rsid w:val="00671A7C"/>
    <w:rsid w:val="00677D23"/>
    <w:rsid w:val="0068129C"/>
    <w:rsid w:val="00694395"/>
    <w:rsid w:val="00695B22"/>
    <w:rsid w:val="006961FD"/>
    <w:rsid w:val="006A7E87"/>
    <w:rsid w:val="006C7EBD"/>
    <w:rsid w:val="006D316B"/>
    <w:rsid w:val="006D54D7"/>
    <w:rsid w:val="006E61E9"/>
    <w:rsid w:val="00700B52"/>
    <w:rsid w:val="0070723B"/>
    <w:rsid w:val="007171BF"/>
    <w:rsid w:val="00721031"/>
    <w:rsid w:val="007251BD"/>
    <w:rsid w:val="00734F9B"/>
    <w:rsid w:val="00757082"/>
    <w:rsid w:val="0076603F"/>
    <w:rsid w:val="007809F9"/>
    <w:rsid w:val="00783BEF"/>
    <w:rsid w:val="00796CF2"/>
    <w:rsid w:val="007A614D"/>
    <w:rsid w:val="007C5116"/>
    <w:rsid w:val="007D030B"/>
    <w:rsid w:val="007D1ABB"/>
    <w:rsid w:val="007E0872"/>
    <w:rsid w:val="0080412F"/>
    <w:rsid w:val="00816360"/>
    <w:rsid w:val="0083203C"/>
    <w:rsid w:val="00832AEE"/>
    <w:rsid w:val="00845526"/>
    <w:rsid w:val="00847FBC"/>
    <w:rsid w:val="00853E7B"/>
    <w:rsid w:val="00862D4A"/>
    <w:rsid w:val="00872301"/>
    <w:rsid w:val="008740F4"/>
    <w:rsid w:val="00880275"/>
    <w:rsid w:val="0088713D"/>
    <w:rsid w:val="008911D6"/>
    <w:rsid w:val="008958DB"/>
    <w:rsid w:val="00897F32"/>
    <w:rsid w:val="008A027A"/>
    <w:rsid w:val="008A4286"/>
    <w:rsid w:val="008B31F6"/>
    <w:rsid w:val="008B514C"/>
    <w:rsid w:val="008B6922"/>
    <w:rsid w:val="008C30BD"/>
    <w:rsid w:val="008C3395"/>
    <w:rsid w:val="008C769F"/>
    <w:rsid w:val="008D1853"/>
    <w:rsid w:val="008E651D"/>
    <w:rsid w:val="008F23DE"/>
    <w:rsid w:val="008F3963"/>
    <w:rsid w:val="00904B0E"/>
    <w:rsid w:val="00916185"/>
    <w:rsid w:val="009205C2"/>
    <w:rsid w:val="009250BC"/>
    <w:rsid w:val="00946B9E"/>
    <w:rsid w:val="00946D80"/>
    <w:rsid w:val="00946F02"/>
    <w:rsid w:val="00956327"/>
    <w:rsid w:val="00965C8D"/>
    <w:rsid w:val="00981CDC"/>
    <w:rsid w:val="00984F75"/>
    <w:rsid w:val="009869EC"/>
    <w:rsid w:val="009B0547"/>
    <w:rsid w:val="009B4D0F"/>
    <w:rsid w:val="009E1258"/>
    <w:rsid w:val="009E1CD4"/>
    <w:rsid w:val="009E4CA1"/>
    <w:rsid w:val="009E5DF1"/>
    <w:rsid w:val="009F03BA"/>
    <w:rsid w:val="00A037FE"/>
    <w:rsid w:val="00A341D1"/>
    <w:rsid w:val="00A3473A"/>
    <w:rsid w:val="00A34C0F"/>
    <w:rsid w:val="00A36CBF"/>
    <w:rsid w:val="00A40AB8"/>
    <w:rsid w:val="00A70840"/>
    <w:rsid w:val="00A7156C"/>
    <w:rsid w:val="00A73F98"/>
    <w:rsid w:val="00A90B04"/>
    <w:rsid w:val="00A969D4"/>
    <w:rsid w:val="00A96A1A"/>
    <w:rsid w:val="00A97CA9"/>
    <w:rsid w:val="00AA1E2E"/>
    <w:rsid w:val="00AB0718"/>
    <w:rsid w:val="00AB6B22"/>
    <w:rsid w:val="00AC0B3C"/>
    <w:rsid w:val="00AC2DAA"/>
    <w:rsid w:val="00AC56E2"/>
    <w:rsid w:val="00AD67E5"/>
    <w:rsid w:val="00AE0190"/>
    <w:rsid w:val="00AF2843"/>
    <w:rsid w:val="00AF46B4"/>
    <w:rsid w:val="00B01EFE"/>
    <w:rsid w:val="00B069FF"/>
    <w:rsid w:val="00B123EE"/>
    <w:rsid w:val="00B20EC3"/>
    <w:rsid w:val="00B2558D"/>
    <w:rsid w:val="00B25C80"/>
    <w:rsid w:val="00B3234F"/>
    <w:rsid w:val="00B344D4"/>
    <w:rsid w:val="00B35B13"/>
    <w:rsid w:val="00B367F2"/>
    <w:rsid w:val="00B4277F"/>
    <w:rsid w:val="00B46AB9"/>
    <w:rsid w:val="00B5705B"/>
    <w:rsid w:val="00B66E6A"/>
    <w:rsid w:val="00B7073E"/>
    <w:rsid w:val="00B760F1"/>
    <w:rsid w:val="00B80A9F"/>
    <w:rsid w:val="00B8139F"/>
    <w:rsid w:val="00B91E6D"/>
    <w:rsid w:val="00B956BC"/>
    <w:rsid w:val="00BB78CC"/>
    <w:rsid w:val="00BC5C64"/>
    <w:rsid w:val="00BD1017"/>
    <w:rsid w:val="00BD3A6F"/>
    <w:rsid w:val="00BD4EC3"/>
    <w:rsid w:val="00BD7EEB"/>
    <w:rsid w:val="00BE34D7"/>
    <w:rsid w:val="00BE59E1"/>
    <w:rsid w:val="00BF0D3F"/>
    <w:rsid w:val="00BF2983"/>
    <w:rsid w:val="00C4374C"/>
    <w:rsid w:val="00C45500"/>
    <w:rsid w:val="00C529EF"/>
    <w:rsid w:val="00C6311D"/>
    <w:rsid w:val="00C6432D"/>
    <w:rsid w:val="00C7474E"/>
    <w:rsid w:val="00C77111"/>
    <w:rsid w:val="00C90BC1"/>
    <w:rsid w:val="00CA41B6"/>
    <w:rsid w:val="00CB7DAA"/>
    <w:rsid w:val="00CD0B78"/>
    <w:rsid w:val="00CD13A6"/>
    <w:rsid w:val="00CD3CC7"/>
    <w:rsid w:val="00CD4275"/>
    <w:rsid w:val="00CE2DF2"/>
    <w:rsid w:val="00CF4A3B"/>
    <w:rsid w:val="00CF7B82"/>
    <w:rsid w:val="00D00286"/>
    <w:rsid w:val="00D03D5A"/>
    <w:rsid w:val="00D07293"/>
    <w:rsid w:val="00D130DB"/>
    <w:rsid w:val="00D245F6"/>
    <w:rsid w:val="00D26372"/>
    <w:rsid w:val="00D3489D"/>
    <w:rsid w:val="00D4022F"/>
    <w:rsid w:val="00D56AE1"/>
    <w:rsid w:val="00D70290"/>
    <w:rsid w:val="00D818CE"/>
    <w:rsid w:val="00D95A82"/>
    <w:rsid w:val="00DA4BCA"/>
    <w:rsid w:val="00DC2308"/>
    <w:rsid w:val="00DD4197"/>
    <w:rsid w:val="00DF3F78"/>
    <w:rsid w:val="00DF4FB0"/>
    <w:rsid w:val="00E00446"/>
    <w:rsid w:val="00E07858"/>
    <w:rsid w:val="00E103D2"/>
    <w:rsid w:val="00E176EC"/>
    <w:rsid w:val="00E20C3D"/>
    <w:rsid w:val="00E27E43"/>
    <w:rsid w:val="00E566DC"/>
    <w:rsid w:val="00E652A2"/>
    <w:rsid w:val="00E6705E"/>
    <w:rsid w:val="00E672DA"/>
    <w:rsid w:val="00E84BFF"/>
    <w:rsid w:val="00E862D4"/>
    <w:rsid w:val="00E944CA"/>
    <w:rsid w:val="00E96CE6"/>
    <w:rsid w:val="00EA65D4"/>
    <w:rsid w:val="00EB74AB"/>
    <w:rsid w:val="00EC00F1"/>
    <w:rsid w:val="00EC6955"/>
    <w:rsid w:val="00EC7B8D"/>
    <w:rsid w:val="00ED1466"/>
    <w:rsid w:val="00ED6C7F"/>
    <w:rsid w:val="00EE4AF7"/>
    <w:rsid w:val="00EF057C"/>
    <w:rsid w:val="00EF46D1"/>
    <w:rsid w:val="00EF4D79"/>
    <w:rsid w:val="00EF558E"/>
    <w:rsid w:val="00F00A12"/>
    <w:rsid w:val="00F01142"/>
    <w:rsid w:val="00F01699"/>
    <w:rsid w:val="00F100A0"/>
    <w:rsid w:val="00F203F5"/>
    <w:rsid w:val="00F206B2"/>
    <w:rsid w:val="00F22EE1"/>
    <w:rsid w:val="00F31D14"/>
    <w:rsid w:val="00F32C6E"/>
    <w:rsid w:val="00F364BA"/>
    <w:rsid w:val="00F40C22"/>
    <w:rsid w:val="00F42BFE"/>
    <w:rsid w:val="00F56B11"/>
    <w:rsid w:val="00F9349A"/>
    <w:rsid w:val="00F962AD"/>
    <w:rsid w:val="00FA4EE8"/>
    <w:rsid w:val="00FA57F1"/>
    <w:rsid w:val="00FA6CE9"/>
    <w:rsid w:val="00FA72C5"/>
    <w:rsid w:val="00FB3A20"/>
    <w:rsid w:val="00FB6D64"/>
    <w:rsid w:val="00FD7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C0084-EC8A-4040-B63A-9D23A0B7F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25C8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25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503611">
      <w:bodyDiv w:val="1"/>
      <w:marLeft w:val="0"/>
      <w:marRight w:val="0"/>
      <w:marTop w:val="0"/>
      <w:marBottom w:val="0"/>
      <w:divBdr>
        <w:top w:val="none" w:sz="0" w:space="0" w:color="auto"/>
        <w:left w:val="none" w:sz="0" w:space="0" w:color="auto"/>
        <w:bottom w:val="none" w:sz="0" w:space="0" w:color="auto"/>
        <w:right w:val="none" w:sz="0" w:space="0" w:color="auto"/>
      </w:divBdr>
    </w:div>
    <w:div w:id="546138014">
      <w:bodyDiv w:val="1"/>
      <w:marLeft w:val="0"/>
      <w:marRight w:val="0"/>
      <w:marTop w:val="0"/>
      <w:marBottom w:val="0"/>
      <w:divBdr>
        <w:top w:val="none" w:sz="0" w:space="0" w:color="auto"/>
        <w:left w:val="none" w:sz="0" w:space="0" w:color="auto"/>
        <w:bottom w:val="none" w:sz="0" w:space="0" w:color="auto"/>
        <w:right w:val="none" w:sz="0" w:space="0" w:color="auto"/>
      </w:divBdr>
    </w:div>
    <w:div w:id="81599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uxiaoer.com/fa/302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874</Words>
  <Characters>4984</Characters>
  <Application>Microsoft Office Word</Application>
  <DocSecurity>0</DocSecurity>
  <Lines>41</Lines>
  <Paragraphs>11</Paragraphs>
  <ScaleCrop>false</ScaleCrop>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邱兵兵</dc:creator>
  <cp:lastModifiedBy>zijian fu</cp:lastModifiedBy>
  <cp:revision>2</cp:revision>
  <dcterms:created xsi:type="dcterms:W3CDTF">2016-12-30T05:04:00Z</dcterms:created>
  <dcterms:modified xsi:type="dcterms:W3CDTF">2016-12-30T05:04:00Z</dcterms:modified>
</cp:coreProperties>
</file>